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35C" w:rsidRPr="0039635C" w:rsidRDefault="00DC5C4E" w:rsidP="0039635C">
      <w:pPr>
        <w:widowControl w:val="0"/>
        <w:spacing w:line="360" w:lineRule="auto"/>
        <w:ind w:right="49"/>
        <w:jc w:val="both"/>
        <w:rPr>
          <w:rFonts w:ascii="Palatino Linotype" w:hAnsi="Palatino Linotype" w:cs="Arial"/>
          <w:b/>
        </w:rPr>
      </w:pPr>
      <w:r w:rsidRPr="0039635C">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242018" w:rsidRPr="0039635C">
        <w:rPr>
          <w:rFonts w:ascii="Palatino Linotype" w:hAnsi="Palatino Linotype" w:cs="Arial"/>
          <w:b/>
        </w:rPr>
        <w:t xml:space="preserve">TRIGÉSIMA </w:t>
      </w:r>
      <w:r w:rsidRPr="0039635C">
        <w:rPr>
          <w:rFonts w:ascii="Palatino Linotype" w:hAnsi="Palatino Linotype" w:cs="Arial"/>
          <w:b/>
        </w:rPr>
        <w:t xml:space="preserve">SESIÓN ORDINARIA DE </w:t>
      </w:r>
      <w:r w:rsidR="0039635C">
        <w:rPr>
          <w:rFonts w:ascii="Palatino Linotype" w:hAnsi="Palatino Linotype" w:cs="Arial"/>
          <w:b/>
        </w:rPr>
        <w:t>VEINTIDÓS DE AGOSTO DE DOS MIL DIECIOCHO</w:t>
      </w:r>
      <w:r w:rsidRPr="0039635C">
        <w:rPr>
          <w:rFonts w:ascii="Palatino Linotype" w:hAnsi="Palatino Linotype" w:cs="Arial"/>
          <w:b/>
        </w:rPr>
        <w:t xml:space="preserve">, EN </w:t>
      </w:r>
      <w:r w:rsidR="0039635C">
        <w:rPr>
          <w:rFonts w:ascii="Palatino Linotype" w:hAnsi="Palatino Linotype" w:cs="Arial"/>
          <w:b/>
        </w:rPr>
        <w:t>LOS</w:t>
      </w:r>
      <w:r w:rsidRPr="0039635C">
        <w:rPr>
          <w:rFonts w:ascii="Palatino Linotype" w:hAnsi="Palatino Linotype" w:cs="Arial"/>
          <w:b/>
        </w:rPr>
        <w:t xml:space="preserve"> RECURSO</w:t>
      </w:r>
      <w:r w:rsidR="0039635C">
        <w:rPr>
          <w:rFonts w:ascii="Palatino Linotype" w:hAnsi="Palatino Linotype" w:cs="Arial"/>
          <w:b/>
        </w:rPr>
        <w:t>S</w:t>
      </w:r>
      <w:r w:rsidRPr="0039635C">
        <w:rPr>
          <w:rFonts w:ascii="Palatino Linotype" w:hAnsi="Palatino Linotype" w:cs="Arial"/>
          <w:b/>
        </w:rPr>
        <w:t xml:space="preserve"> DE REVISIÓN </w:t>
      </w:r>
      <w:r w:rsidR="0039635C">
        <w:rPr>
          <w:rFonts w:ascii="Palatino Linotype" w:hAnsi="Palatino Linotype" w:cs="Arial"/>
          <w:b/>
        </w:rPr>
        <w:t xml:space="preserve">ACUMULADOS </w:t>
      </w:r>
      <w:r w:rsidR="0039635C" w:rsidRPr="0039635C">
        <w:rPr>
          <w:rFonts w:ascii="Palatino Linotype" w:hAnsi="Palatino Linotype" w:cs="Arial"/>
          <w:b/>
        </w:rPr>
        <w:t>02125/INFOEM/IP/RR/2018, 02152/INFOEM/IP/RR/2018 Y 02375/INFOEM/IP/RR/2018</w:t>
      </w:r>
      <w:r w:rsidR="0039635C">
        <w:rPr>
          <w:rFonts w:ascii="Palatino Linotype" w:hAnsi="Palatino Linotype" w:cs="Arial"/>
          <w:b/>
        </w:rPr>
        <w:t>.</w:t>
      </w:r>
    </w:p>
    <w:p w:rsidR="00DC5C4E" w:rsidRPr="0039635C" w:rsidRDefault="00B058E5" w:rsidP="0039635C">
      <w:pPr>
        <w:widowControl w:val="0"/>
        <w:tabs>
          <w:tab w:val="left" w:pos="1740"/>
        </w:tabs>
        <w:spacing w:line="360" w:lineRule="auto"/>
        <w:ind w:right="49"/>
        <w:jc w:val="both"/>
        <w:rPr>
          <w:rFonts w:ascii="Palatino Linotype" w:hAnsi="Palatino Linotype" w:cs="Arial"/>
          <w:b/>
        </w:rPr>
      </w:pPr>
      <w:r w:rsidRPr="0039635C">
        <w:rPr>
          <w:rFonts w:ascii="Palatino Linotype" w:hAnsi="Palatino Linotype" w:cs="Arial"/>
          <w:b/>
        </w:rPr>
        <w:tab/>
      </w:r>
    </w:p>
    <w:p w:rsidR="00DC5C4E" w:rsidRPr="0039635C" w:rsidRDefault="00DC5C4E" w:rsidP="0039635C">
      <w:pPr>
        <w:spacing w:line="360" w:lineRule="auto"/>
        <w:ind w:right="49"/>
        <w:jc w:val="both"/>
        <w:rPr>
          <w:rFonts w:ascii="Palatino Linotype" w:hAnsi="Palatino Linotype" w:cs="Arial"/>
        </w:rPr>
      </w:pPr>
      <w:r w:rsidRPr="0039635C">
        <w:rPr>
          <w:rFonts w:ascii="Palatino Linotype" w:hAnsi="Palatino Linotype" w:cs="Arial"/>
        </w:rPr>
        <w:t>Con fundamento en lo dispuesto por el artículo 14</w:t>
      </w:r>
      <w:r w:rsidR="00AD2717">
        <w:rPr>
          <w:rFonts w:ascii="Palatino Linotype" w:hAnsi="Palatino Linotype" w:cs="Arial"/>
        </w:rPr>
        <w:t>,</w:t>
      </w:r>
      <w:r w:rsidRPr="0039635C">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39635C">
        <w:rPr>
          <w:rFonts w:ascii="Palatino Linotype" w:hAnsi="Palatino Linotype" w:cs="Arial"/>
          <w:b/>
          <w:lang w:val="es-ES_tradnl"/>
        </w:rPr>
        <w:t xml:space="preserve"> </w:t>
      </w:r>
      <w:r w:rsidRPr="0039635C">
        <w:rPr>
          <w:rFonts w:ascii="Palatino Linotype" w:hAnsi="Palatino Linotype" w:cs="Arial"/>
          <w:b/>
        </w:rPr>
        <w:t xml:space="preserve">EVA ABAID YAPUR </w:t>
      </w:r>
      <w:r w:rsidRPr="0039635C">
        <w:rPr>
          <w:rFonts w:ascii="Palatino Linotype" w:hAnsi="Palatino Linotype" w:cs="Arial"/>
        </w:rPr>
        <w:t xml:space="preserve">emite </w:t>
      </w:r>
      <w:r w:rsidRPr="0039635C">
        <w:rPr>
          <w:rFonts w:ascii="Palatino Linotype" w:hAnsi="Palatino Linotype" w:cs="Arial"/>
          <w:b/>
        </w:rPr>
        <w:t xml:space="preserve">VOTO PARTICULAR </w:t>
      </w:r>
      <w:r w:rsidRPr="0039635C">
        <w:rPr>
          <w:rFonts w:ascii="Palatino Linotype" w:hAnsi="Palatino Linotype" w:cs="Arial"/>
        </w:rPr>
        <w:t xml:space="preserve">respecto de la resolución dictada en </w:t>
      </w:r>
      <w:r w:rsidR="0039635C">
        <w:rPr>
          <w:rFonts w:ascii="Palatino Linotype" w:hAnsi="Palatino Linotype" w:cs="Arial"/>
        </w:rPr>
        <w:t>los</w:t>
      </w:r>
      <w:r w:rsidRPr="0039635C">
        <w:rPr>
          <w:rFonts w:ascii="Palatino Linotype" w:hAnsi="Palatino Linotype" w:cs="Arial"/>
        </w:rPr>
        <w:t xml:space="preserve"> recurso</w:t>
      </w:r>
      <w:r w:rsidR="0039635C">
        <w:rPr>
          <w:rFonts w:ascii="Palatino Linotype" w:hAnsi="Palatino Linotype" w:cs="Arial"/>
        </w:rPr>
        <w:t>s</w:t>
      </w:r>
      <w:r w:rsidRPr="0039635C">
        <w:rPr>
          <w:rFonts w:ascii="Palatino Linotype" w:hAnsi="Palatino Linotype" w:cs="Arial"/>
        </w:rPr>
        <w:t xml:space="preserve"> de revisión</w:t>
      </w:r>
      <w:r w:rsidR="0039635C">
        <w:rPr>
          <w:rFonts w:ascii="Palatino Linotype" w:hAnsi="Palatino Linotype" w:cs="Arial"/>
        </w:rPr>
        <w:t xml:space="preserve"> acumulados</w:t>
      </w:r>
      <w:r w:rsidRPr="0039635C">
        <w:rPr>
          <w:rFonts w:ascii="Palatino Linotype" w:hAnsi="Palatino Linotype" w:cs="Arial"/>
        </w:rPr>
        <w:t xml:space="preserve"> </w:t>
      </w:r>
      <w:r w:rsidR="0039635C" w:rsidRPr="0039635C">
        <w:rPr>
          <w:rFonts w:ascii="Palatino Linotype" w:eastAsia="Calibri" w:hAnsi="Palatino Linotype" w:cs="Arial"/>
          <w:b/>
          <w:color w:val="000000"/>
        </w:rPr>
        <w:t>02125/INFOEM/IP/RR/</w:t>
      </w:r>
      <w:r w:rsidR="0039635C">
        <w:rPr>
          <w:rFonts w:ascii="Palatino Linotype" w:eastAsia="Calibri" w:hAnsi="Palatino Linotype" w:cs="Arial"/>
          <w:b/>
          <w:color w:val="000000"/>
        </w:rPr>
        <w:t xml:space="preserve">2018, 02152/INFOEM/IP/RR/2018 </w:t>
      </w:r>
      <w:r w:rsidR="0039635C">
        <w:rPr>
          <w:rFonts w:ascii="Palatino Linotype" w:eastAsia="Calibri" w:hAnsi="Palatino Linotype" w:cs="Arial"/>
          <w:color w:val="000000"/>
        </w:rPr>
        <w:t xml:space="preserve">y </w:t>
      </w:r>
      <w:r w:rsidR="0039635C" w:rsidRPr="0039635C">
        <w:rPr>
          <w:rFonts w:ascii="Palatino Linotype" w:eastAsia="Calibri" w:hAnsi="Palatino Linotype" w:cs="Arial"/>
          <w:b/>
          <w:color w:val="000000"/>
        </w:rPr>
        <w:t>02375/INFOEM/IP/RR/2018</w:t>
      </w:r>
      <w:r w:rsidRPr="0039635C">
        <w:rPr>
          <w:rFonts w:ascii="Palatino Linotype" w:hAnsi="Palatino Linotype" w:cs="Arial"/>
        </w:rPr>
        <w:t xml:space="preserve">, pronunciada por el Pleno de este Instituto ante el proyecto presentado por </w:t>
      </w:r>
      <w:r w:rsidR="0039635C">
        <w:rPr>
          <w:rFonts w:ascii="Palatino Linotype" w:hAnsi="Palatino Linotype" w:cs="Arial"/>
        </w:rPr>
        <w:t>la</w:t>
      </w:r>
      <w:r w:rsidRPr="0039635C">
        <w:rPr>
          <w:rFonts w:ascii="Palatino Linotype" w:hAnsi="Palatino Linotype" w:cs="Arial"/>
        </w:rPr>
        <w:t xml:space="preserve"> Comisionad</w:t>
      </w:r>
      <w:r w:rsidR="0039635C">
        <w:rPr>
          <w:rFonts w:ascii="Palatino Linotype" w:hAnsi="Palatino Linotype" w:cs="Arial"/>
        </w:rPr>
        <w:t>a Presidenta</w:t>
      </w:r>
      <w:r w:rsidRPr="0039635C">
        <w:rPr>
          <w:rFonts w:ascii="Palatino Linotype" w:hAnsi="Palatino Linotype" w:cs="Arial"/>
        </w:rPr>
        <w:t xml:space="preserve"> </w:t>
      </w:r>
      <w:r w:rsidR="0094130F">
        <w:rPr>
          <w:rFonts w:ascii="Palatino Linotype" w:hAnsi="Palatino Linotype" w:cs="Arial"/>
          <w:b/>
        </w:rPr>
        <w:t>ZULEMA MARTÍNEZ SÁNCHEZ</w:t>
      </w:r>
      <w:r w:rsidRPr="0039635C">
        <w:rPr>
          <w:rFonts w:ascii="Palatino Linotype" w:hAnsi="Palatino Linotype" w:cs="Arial"/>
        </w:rPr>
        <w:t>, que es del tenor siguiente</w:t>
      </w:r>
      <w:r w:rsidR="009A6B36" w:rsidRPr="0039635C">
        <w:rPr>
          <w:rFonts w:ascii="Palatino Linotype" w:hAnsi="Palatino Linotype" w:cs="Arial"/>
        </w:rPr>
        <w:t>.</w:t>
      </w:r>
    </w:p>
    <w:p w:rsidR="00DC5C4E" w:rsidRPr="0039635C" w:rsidRDefault="00DC5C4E" w:rsidP="0039635C">
      <w:pPr>
        <w:widowControl w:val="0"/>
        <w:spacing w:line="360" w:lineRule="auto"/>
        <w:ind w:right="49"/>
        <w:jc w:val="both"/>
        <w:rPr>
          <w:rFonts w:ascii="Palatino Linotype" w:hAnsi="Palatino Linotype" w:cs="Arial"/>
        </w:rPr>
      </w:pPr>
    </w:p>
    <w:p w:rsidR="00DC5C4E" w:rsidRPr="0039635C" w:rsidRDefault="00DC5C4E" w:rsidP="0039635C">
      <w:pPr>
        <w:spacing w:line="360" w:lineRule="auto"/>
        <w:ind w:right="49"/>
        <w:jc w:val="both"/>
        <w:rPr>
          <w:rFonts w:ascii="Palatino Linotype" w:hAnsi="Palatino Linotype"/>
        </w:rPr>
      </w:pPr>
      <w:r w:rsidRPr="0039635C">
        <w:rPr>
          <w:rFonts w:ascii="Palatino Linotype" w:hAnsi="Palatino Linotype"/>
        </w:rPr>
        <w:t xml:space="preserve">Es de destacar, que la suscrita comparte esencialmente el estudio realizado en la resolución del recurso de revisión; empero, </w:t>
      </w:r>
      <w:r w:rsidR="0094130F">
        <w:rPr>
          <w:rFonts w:ascii="Palatino Linotype" w:hAnsi="Palatino Linotype"/>
        </w:rPr>
        <w:t>estimo</w:t>
      </w:r>
      <w:r w:rsidRPr="0039635C">
        <w:rPr>
          <w:rFonts w:ascii="Palatino Linotype" w:hAnsi="Palatino Linotype"/>
        </w:rPr>
        <w:t xml:space="preserve"> necesario precisar algunas consideraciones de hecho y de derecho, tocante a</w:t>
      </w:r>
      <w:r w:rsidR="009F03BA" w:rsidRPr="0039635C">
        <w:rPr>
          <w:rFonts w:ascii="Palatino Linotype" w:hAnsi="Palatino Linotype"/>
        </w:rPr>
        <w:t xml:space="preserve"> </w:t>
      </w:r>
      <w:r w:rsidR="00BC4833" w:rsidRPr="0039635C">
        <w:rPr>
          <w:rFonts w:ascii="Palatino Linotype" w:hAnsi="Palatino Linotype"/>
        </w:rPr>
        <w:t xml:space="preserve">parte </w:t>
      </w:r>
      <w:r w:rsidR="009F03BA" w:rsidRPr="0039635C">
        <w:rPr>
          <w:rFonts w:ascii="Palatino Linotype" w:hAnsi="Palatino Linotype"/>
        </w:rPr>
        <w:t>de la información de la que se ordena su entrega</w:t>
      </w:r>
      <w:r w:rsidRPr="0039635C">
        <w:rPr>
          <w:rFonts w:ascii="Palatino Linotype" w:hAnsi="Palatino Linotype"/>
        </w:rPr>
        <w:t>.</w:t>
      </w:r>
    </w:p>
    <w:p w:rsidR="005478BD" w:rsidRDefault="00DC5C4E" w:rsidP="0039635C">
      <w:pPr>
        <w:spacing w:line="360" w:lineRule="auto"/>
        <w:ind w:right="49"/>
        <w:jc w:val="both"/>
        <w:rPr>
          <w:rFonts w:ascii="Palatino Linotype" w:hAnsi="Palatino Linotype"/>
        </w:rPr>
      </w:pPr>
      <w:r w:rsidRPr="0039635C">
        <w:rPr>
          <w:rFonts w:ascii="Palatino Linotype" w:hAnsi="Palatino Linotype"/>
        </w:rPr>
        <w:lastRenderedPageBreak/>
        <w:t xml:space="preserve">Al respecto, tal y como quedó debidamente asentado en la resolución materia del presente voto, </w:t>
      </w:r>
      <w:r w:rsidR="00F21E0E">
        <w:rPr>
          <w:rFonts w:ascii="Palatino Linotype" w:hAnsi="Palatino Linotype"/>
        </w:rPr>
        <w:t>las</w:t>
      </w:r>
      <w:r w:rsidRPr="0039635C">
        <w:rPr>
          <w:rFonts w:ascii="Palatino Linotype" w:hAnsi="Palatino Linotype"/>
        </w:rPr>
        <w:t xml:space="preserve"> particular</w:t>
      </w:r>
      <w:r w:rsidR="00F21E0E">
        <w:rPr>
          <w:rFonts w:ascii="Palatino Linotype" w:hAnsi="Palatino Linotype"/>
        </w:rPr>
        <w:t>es</w:t>
      </w:r>
      <w:r w:rsidRPr="0039635C">
        <w:rPr>
          <w:rFonts w:ascii="Palatino Linotype" w:hAnsi="Palatino Linotype"/>
        </w:rPr>
        <w:t xml:space="preserve"> </w:t>
      </w:r>
      <w:r w:rsidR="007B2574" w:rsidRPr="0039635C">
        <w:rPr>
          <w:rFonts w:ascii="Palatino Linotype" w:hAnsi="Palatino Linotype"/>
        </w:rPr>
        <w:t>requiri</w:t>
      </w:r>
      <w:r w:rsidR="00F21E0E">
        <w:rPr>
          <w:rFonts w:ascii="Palatino Linotype" w:hAnsi="Palatino Linotype"/>
        </w:rPr>
        <w:t>eron</w:t>
      </w:r>
      <w:r w:rsidR="007B2574" w:rsidRPr="0039635C">
        <w:rPr>
          <w:rFonts w:ascii="Palatino Linotype" w:hAnsi="Palatino Linotype"/>
        </w:rPr>
        <w:t xml:space="preserve"> del</w:t>
      </w:r>
      <w:r w:rsidR="00017A8B" w:rsidRPr="0039635C">
        <w:rPr>
          <w:rFonts w:ascii="Palatino Linotype" w:hAnsi="Palatino Linotype"/>
        </w:rPr>
        <w:t xml:space="preserve"> </w:t>
      </w:r>
      <w:r w:rsidR="005478BD">
        <w:rPr>
          <w:rFonts w:ascii="Palatino Linotype" w:hAnsi="Palatino Linotype"/>
          <w:b/>
        </w:rPr>
        <w:t xml:space="preserve">Ayuntamiento de Rayón, </w:t>
      </w:r>
      <w:r w:rsidR="005478BD">
        <w:rPr>
          <w:rFonts w:ascii="Palatino Linotype" w:hAnsi="Palatino Linotype"/>
        </w:rPr>
        <w:t xml:space="preserve">en lo sucesivo </w:t>
      </w:r>
      <w:r w:rsidR="005478BD">
        <w:rPr>
          <w:rFonts w:ascii="Palatino Linotype" w:hAnsi="Palatino Linotype"/>
          <w:b/>
        </w:rPr>
        <w:t xml:space="preserve">EL </w:t>
      </w:r>
      <w:r w:rsidRPr="0039635C">
        <w:rPr>
          <w:rFonts w:ascii="Palatino Linotype" w:hAnsi="Palatino Linotype"/>
          <w:b/>
        </w:rPr>
        <w:t>SUJETO OBLIGADO</w:t>
      </w:r>
      <w:r w:rsidR="001A7CEE" w:rsidRPr="0039635C">
        <w:rPr>
          <w:rFonts w:ascii="Palatino Linotype" w:hAnsi="Palatino Linotype"/>
          <w:b/>
        </w:rPr>
        <w:t>,</w:t>
      </w:r>
      <w:r w:rsidR="00BC4833" w:rsidRPr="0039635C">
        <w:rPr>
          <w:rFonts w:ascii="Palatino Linotype" w:hAnsi="Palatino Linotype"/>
        </w:rPr>
        <w:t xml:space="preserve"> </w:t>
      </w:r>
      <w:r w:rsidR="005478BD">
        <w:rPr>
          <w:rFonts w:ascii="Palatino Linotype" w:hAnsi="Palatino Linotype"/>
        </w:rPr>
        <w:t>la información que a continuación se desagrega:</w:t>
      </w:r>
    </w:p>
    <w:p w:rsidR="005478BD" w:rsidRDefault="005478BD" w:rsidP="0039635C">
      <w:pPr>
        <w:spacing w:line="360" w:lineRule="auto"/>
        <w:ind w:right="49"/>
        <w:jc w:val="both"/>
        <w:rPr>
          <w:rFonts w:ascii="Palatino Linotype" w:hAnsi="Palatino Linotype"/>
        </w:rPr>
      </w:pPr>
    </w:p>
    <w:p w:rsidR="005478BD" w:rsidRPr="005478BD" w:rsidRDefault="005478BD" w:rsidP="005478BD">
      <w:pPr>
        <w:ind w:left="708" w:right="757"/>
        <w:jc w:val="both"/>
        <w:rPr>
          <w:rFonts w:ascii="Palatino Linotype" w:hAnsi="Palatino Linotype"/>
          <w:i/>
          <w:sz w:val="22"/>
        </w:rPr>
      </w:pPr>
      <w:r w:rsidRPr="005478BD">
        <w:rPr>
          <w:rFonts w:ascii="Palatino Linotype" w:hAnsi="Palatino Linotype"/>
          <w:i/>
          <w:sz w:val="22"/>
        </w:rPr>
        <w:t>1. Naturaleza jurídica y documentos fehacientes que acrediten la propiedad del inmueble conocido como “mercado de artesanías” ubicado en el centro del municipio Rayón.</w:t>
      </w:r>
    </w:p>
    <w:p w:rsidR="005478BD" w:rsidRPr="005478BD" w:rsidRDefault="005478BD" w:rsidP="005478BD">
      <w:pPr>
        <w:ind w:left="708" w:right="757"/>
        <w:jc w:val="both"/>
        <w:rPr>
          <w:rFonts w:ascii="Palatino Linotype" w:hAnsi="Palatino Linotype"/>
          <w:i/>
          <w:sz w:val="22"/>
        </w:rPr>
      </w:pPr>
    </w:p>
    <w:p w:rsidR="005478BD" w:rsidRPr="005478BD" w:rsidRDefault="005478BD" w:rsidP="005478BD">
      <w:pPr>
        <w:ind w:left="708" w:right="757"/>
        <w:jc w:val="both"/>
        <w:rPr>
          <w:rFonts w:ascii="Palatino Linotype" w:hAnsi="Palatino Linotype"/>
          <w:i/>
          <w:sz w:val="22"/>
        </w:rPr>
      </w:pPr>
      <w:r w:rsidRPr="005478BD">
        <w:rPr>
          <w:rFonts w:ascii="Palatino Linotype" w:hAnsi="Palatino Linotype"/>
          <w:i/>
          <w:sz w:val="22"/>
        </w:rPr>
        <w:t>2. Convenio, contrato o cualquier otro documento en el que se establezca el por qué el denominado “banco azteca” instalará en el mercado una de sus sucursales.</w:t>
      </w:r>
    </w:p>
    <w:p w:rsidR="005478BD" w:rsidRPr="005478BD" w:rsidRDefault="005478BD" w:rsidP="005478BD">
      <w:pPr>
        <w:ind w:left="708" w:right="757"/>
        <w:jc w:val="both"/>
        <w:rPr>
          <w:rFonts w:ascii="Palatino Linotype" w:hAnsi="Palatino Linotype"/>
          <w:i/>
          <w:sz w:val="22"/>
        </w:rPr>
      </w:pPr>
    </w:p>
    <w:p w:rsidR="005478BD" w:rsidRPr="005478BD" w:rsidRDefault="005478BD" w:rsidP="005478BD">
      <w:pPr>
        <w:ind w:left="708" w:right="757"/>
        <w:jc w:val="both"/>
        <w:rPr>
          <w:rFonts w:ascii="Palatino Linotype" w:hAnsi="Palatino Linotype"/>
          <w:i/>
          <w:sz w:val="22"/>
        </w:rPr>
      </w:pPr>
      <w:r w:rsidRPr="005478BD">
        <w:rPr>
          <w:rFonts w:ascii="Palatino Linotype" w:hAnsi="Palatino Linotype"/>
          <w:i/>
          <w:sz w:val="22"/>
        </w:rPr>
        <w:t>3. Copia de la Sesión de Ordinaria de Cabildo de fecha veintidós de septiembre de dos mil diecisiete, en la que el Ayuntamiento acordó una colaboración bipartita con el “banco azteca”.</w:t>
      </w:r>
    </w:p>
    <w:p w:rsidR="005478BD" w:rsidRPr="005478BD" w:rsidRDefault="005478BD" w:rsidP="005478BD">
      <w:pPr>
        <w:ind w:left="708" w:right="757"/>
        <w:jc w:val="both"/>
        <w:rPr>
          <w:rFonts w:ascii="Palatino Linotype" w:hAnsi="Palatino Linotype"/>
          <w:i/>
          <w:sz w:val="22"/>
        </w:rPr>
      </w:pPr>
    </w:p>
    <w:p w:rsidR="005478BD" w:rsidRPr="005478BD" w:rsidRDefault="005478BD" w:rsidP="005478BD">
      <w:pPr>
        <w:ind w:left="708" w:right="757"/>
        <w:jc w:val="both"/>
        <w:rPr>
          <w:rFonts w:ascii="Palatino Linotype" w:hAnsi="Palatino Linotype"/>
          <w:i/>
          <w:sz w:val="22"/>
        </w:rPr>
      </w:pPr>
      <w:r w:rsidRPr="005478BD">
        <w:rPr>
          <w:rFonts w:ascii="Palatino Linotype" w:hAnsi="Palatino Linotype"/>
          <w:i/>
          <w:sz w:val="22"/>
        </w:rPr>
        <w:t>4. Copia o información respecto a la consulta ciudadana para permitir la instalación del “banco azteca” en un bien público.</w:t>
      </w:r>
    </w:p>
    <w:p w:rsidR="005478BD" w:rsidRPr="005478BD" w:rsidRDefault="005478BD" w:rsidP="005478BD">
      <w:pPr>
        <w:ind w:left="708" w:right="757"/>
        <w:jc w:val="both"/>
        <w:rPr>
          <w:rFonts w:ascii="Palatino Linotype" w:hAnsi="Palatino Linotype"/>
          <w:i/>
          <w:sz w:val="22"/>
        </w:rPr>
      </w:pPr>
    </w:p>
    <w:p w:rsidR="005478BD" w:rsidRPr="005478BD" w:rsidRDefault="005478BD" w:rsidP="005478BD">
      <w:pPr>
        <w:ind w:left="708" w:right="757"/>
        <w:jc w:val="both"/>
        <w:rPr>
          <w:rFonts w:ascii="Palatino Linotype" w:hAnsi="Palatino Linotype"/>
          <w:i/>
          <w:sz w:val="22"/>
        </w:rPr>
      </w:pPr>
      <w:r w:rsidRPr="005478BD">
        <w:rPr>
          <w:rFonts w:ascii="Palatino Linotype" w:hAnsi="Palatino Linotype"/>
          <w:i/>
          <w:sz w:val="22"/>
        </w:rPr>
        <w:t>5. Copia de los documentos en los que consta la naturaleza jurídica, características, medidas, colindancias y propiedad, del inmueble denominado “mercado de artesanos” ubicado justo en el centro, a un costado del kiosco del municipio Rayón.</w:t>
      </w:r>
    </w:p>
    <w:p w:rsidR="005478BD" w:rsidRDefault="005478BD" w:rsidP="0039635C">
      <w:pPr>
        <w:spacing w:line="360" w:lineRule="auto"/>
        <w:ind w:right="49"/>
        <w:jc w:val="both"/>
        <w:rPr>
          <w:rFonts w:ascii="Palatino Linotype" w:hAnsi="Palatino Linotype"/>
        </w:rPr>
      </w:pPr>
    </w:p>
    <w:p w:rsidR="00741A71" w:rsidRDefault="00EE1DA7" w:rsidP="0039635C">
      <w:pPr>
        <w:spacing w:line="360" w:lineRule="auto"/>
        <w:ind w:right="49"/>
        <w:jc w:val="both"/>
        <w:rPr>
          <w:rFonts w:ascii="Palatino Linotype" w:hAnsi="Palatino Linotype" w:cs="Arial"/>
        </w:rPr>
      </w:pPr>
      <w:r w:rsidRPr="0039635C">
        <w:rPr>
          <w:rFonts w:ascii="Palatino Linotype" w:hAnsi="Palatino Linotype" w:cs="Arial"/>
        </w:rPr>
        <w:t>D</w:t>
      </w:r>
      <w:r w:rsidR="00674996" w:rsidRPr="0039635C">
        <w:rPr>
          <w:rFonts w:ascii="Palatino Linotype" w:hAnsi="Palatino Linotype" w:cs="Arial"/>
        </w:rPr>
        <w:t>e</w:t>
      </w:r>
      <w:r w:rsidR="00A03A10" w:rsidRPr="0039635C">
        <w:rPr>
          <w:rFonts w:ascii="Palatino Linotype" w:hAnsi="Palatino Linotype" w:cs="Arial"/>
        </w:rPr>
        <w:t xml:space="preserve"> </w:t>
      </w:r>
      <w:r w:rsidR="00674996" w:rsidRPr="0039635C">
        <w:rPr>
          <w:rFonts w:ascii="Palatino Linotype" w:hAnsi="Palatino Linotype" w:cs="Arial"/>
        </w:rPr>
        <w:t>l</w:t>
      </w:r>
      <w:r w:rsidR="00A03A10" w:rsidRPr="0039635C">
        <w:rPr>
          <w:rFonts w:ascii="Palatino Linotype" w:hAnsi="Palatino Linotype" w:cs="Arial"/>
        </w:rPr>
        <w:t>os</w:t>
      </w:r>
      <w:r w:rsidR="00674996" w:rsidRPr="0039635C">
        <w:rPr>
          <w:rFonts w:ascii="Palatino Linotype" w:hAnsi="Palatino Linotype" w:cs="Arial"/>
        </w:rPr>
        <w:t xml:space="preserve"> expediente</w:t>
      </w:r>
      <w:r w:rsidR="00A03A10" w:rsidRPr="0039635C">
        <w:rPr>
          <w:rFonts w:ascii="Palatino Linotype" w:hAnsi="Palatino Linotype" w:cs="Arial"/>
        </w:rPr>
        <w:t>s</w:t>
      </w:r>
      <w:r w:rsidR="00674996" w:rsidRPr="0039635C">
        <w:rPr>
          <w:rFonts w:ascii="Palatino Linotype" w:hAnsi="Palatino Linotype" w:cs="Arial"/>
        </w:rPr>
        <w:t xml:space="preserve"> electrónico</w:t>
      </w:r>
      <w:r w:rsidR="00A03A10" w:rsidRPr="0039635C">
        <w:rPr>
          <w:rFonts w:ascii="Palatino Linotype" w:hAnsi="Palatino Linotype" w:cs="Arial"/>
        </w:rPr>
        <w:t>s</w:t>
      </w:r>
      <w:r w:rsidR="00674996" w:rsidRPr="0039635C">
        <w:rPr>
          <w:rFonts w:ascii="Palatino Linotype" w:hAnsi="Palatino Linotype" w:cs="Arial"/>
        </w:rPr>
        <w:t xml:space="preserve"> del</w:t>
      </w:r>
      <w:r w:rsidR="00696DC8" w:rsidRPr="0039635C">
        <w:rPr>
          <w:rFonts w:ascii="Palatino Linotype" w:hAnsi="Palatino Linotype" w:cs="Arial"/>
        </w:rPr>
        <w:t xml:space="preserve"> Sistema de Acceso a la Información Mexiquense,</w:t>
      </w:r>
      <w:r w:rsidR="00674996" w:rsidRPr="0039635C">
        <w:rPr>
          <w:rFonts w:ascii="Palatino Linotype" w:hAnsi="Palatino Linotype" w:cs="Arial"/>
        </w:rPr>
        <w:t xml:space="preserve"> </w:t>
      </w:r>
      <w:r w:rsidR="00674996" w:rsidRPr="0039635C">
        <w:rPr>
          <w:rFonts w:ascii="Palatino Linotype" w:hAnsi="Palatino Linotype" w:cs="Arial"/>
          <w:b/>
        </w:rPr>
        <w:t>SAIMEX</w:t>
      </w:r>
      <w:r w:rsidR="00696DC8" w:rsidRPr="0039635C">
        <w:rPr>
          <w:rFonts w:ascii="Palatino Linotype" w:hAnsi="Palatino Linotype" w:cs="Arial"/>
          <w:b/>
        </w:rPr>
        <w:t>,</w:t>
      </w:r>
      <w:r w:rsidRPr="0039635C">
        <w:rPr>
          <w:rFonts w:ascii="Palatino Linotype" w:hAnsi="Palatino Linotype" w:cs="Arial"/>
          <w:b/>
        </w:rPr>
        <w:t xml:space="preserve"> </w:t>
      </w:r>
      <w:r w:rsidRPr="0039635C">
        <w:rPr>
          <w:rFonts w:ascii="Palatino Linotype" w:hAnsi="Palatino Linotype" w:cs="Arial"/>
        </w:rPr>
        <w:t xml:space="preserve">se puede apreciar </w:t>
      </w:r>
      <w:r w:rsidR="00674996" w:rsidRPr="0039635C">
        <w:rPr>
          <w:rFonts w:ascii="Palatino Linotype" w:hAnsi="Palatino Linotype" w:cs="Arial"/>
        </w:rPr>
        <w:t>que</w:t>
      </w:r>
      <w:r w:rsidR="00DC5C4E" w:rsidRPr="0039635C">
        <w:rPr>
          <w:rFonts w:ascii="Palatino Linotype" w:hAnsi="Palatino Linotype" w:cs="Arial"/>
        </w:rPr>
        <w:t xml:space="preserve"> </w:t>
      </w:r>
      <w:r w:rsidR="00DC5C4E" w:rsidRPr="0039635C">
        <w:rPr>
          <w:rFonts w:ascii="Palatino Linotype" w:hAnsi="Palatino Linotype" w:cs="Arial"/>
          <w:b/>
        </w:rPr>
        <w:t>EL SUJETO OBLIGADO</w:t>
      </w:r>
      <w:r w:rsidR="00DC5C4E" w:rsidRPr="0039635C">
        <w:rPr>
          <w:rFonts w:ascii="Palatino Linotype" w:hAnsi="Palatino Linotype" w:cs="Arial"/>
        </w:rPr>
        <w:t>,</w:t>
      </w:r>
      <w:r w:rsidR="00674996" w:rsidRPr="0039635C">
        <w:rPr>
          <w:rFonts w:ascii="Palatino Linotype" w:hAnsi="Palatino Linotype" w:cs="Arial"/>
        </w:rPr>
        <w:t xml:space="preserve"> </w:t>
      </w:r>
      <w:r w:rsidR="00E6710F">
        <w:rPr>
          <w:rFonts w:ascii="Palatino Linotype" w:hAnsi="Palatino Linotype" w:cs="Arial"/>
        </w:rPr>
        <w:t>fue omiso en dar</w:t>
      </w:r>
      <w:r w:rsidR="00E6710F" w:rsidRPr="009763E3">
        <w:rPr>
          <w:rFonts w:ascii="Palatino Linotype" w:hAnsi="Palatino Linotype"/>
        </w:rPr>
        <w:t xml:space="preserve"> respuesta a la</w:t>
      </w:r>
      <w:r w:rsidR="00E6710F">
        <w:rPr>
          <w:rFonts w:ascii="Palatino Linotype" w:hAnsi="Palatino Linotype"/>
        </w:rPr>
        <w:t xml:space="preserve">s solicitudes </w:t>
      </w:r>
      <w:r w:rsidR="00E6710F" w:rsidRPr="009763E3">
        <w:rPr>
          <w:rFonts w:ascii="Palatino Linotype" w:hAnsi="Palatino Linotype"/>
        </w:rPr>
        <w:t>de acceso a la información</w:t>
      </w:r>
      <w:r w:rsidR="00E6710F">
        <w:rPr>
          <w:rFonts w:ascii="Palatino Linotype" w:hAnsi="Palatino Linotype" w:cs="Arial"/>
        </w:rPr>
        <w:t xml:space="preserve">, por lo que las ahora </w:t>
      </w:r>
      <w:r w:rsidR="00E6710F" w:rsidRPr="00E6710F">
        <w:rPr>
          <w:rFonts w:ascii="Palatino Linotype" w:hAnsi="Palatino Linotype" w:cs="Arial"/>
          <w:b/>
        </w:rPr>
        <w:t>RECURRENTES</w:t>
      </w:r>
      <w:r w:rsidR="00E6710F">
        <w:rPr>
          <w:rFonts w:ascii="Palatino Linotype" w:hAnsi="Palatino Linotype" w:cs="Arial"/>
        </w:rPr>
        <w:t xml:space="preserve"> procedieron a interponer los respectivos recursos de revisión, adoleciéndose precisamente de la falta de atención a sus requerimientos.</w:t>
      </w:r>
    </w:p>
    <w:p w:rsidR="00E6710F" w:rsidRPr="0039635C" w:rsidRDefault="00E6710F" w:rsidP="0039635C">
      <w:pPr>
        <w:spacing w:line="360" w:lineRule="auto"/>
        <w:ind w:right="49"/>
        <w:jc w:val="both"/>
        <w:rPr>
          <w:rFonts w:ascii="Palatino Linotype" w:hAnsi="Palatino Linotype" w:cs="Arial"/>
        </w:rPr>
      </w:pPr>
    </w:p>
    <w:p w:rsidR="00AD7F4F" w:rsidRDefault="00DC5C4E" w:rsidP="0039635C">
      <w:pPr>
        <w:spacing w:line="360" w:lineRule="auto"/>
        <w:ind w:right="49"/>
        <w:jc w:val="both"/>
        <w:rPr>
          <w:rFonts w:ascii="Palatino Linotype" w:hAnsi="Palatino Linotype" w:cs="Arial"/>
          <w:lang w:eastAsia="es-MX"/>
        </w:rPr>
      </w:pPr>
      <w:r w:rsidRPr="0039635C">
        <w:rPr>
          <w:rFonts w:ascii="Palatino Linotype" w:hAnsi="Palatino Linotype" w:cs="Arial"/>
        </w:rPr>
        <w:lastRenderedPageBreak/>
        <w:t xml:space="preserve">Así, la Ponencia </w:t>
      </w:r>
      <w:proofErr w:type="spellStart"/>
      <w:r w:rsidRPr="0039635C">
        <w:rPr>
          <w:rFonts w:ascii="Palatino Linotype" w:hAnsi="Palatino Linotype" w:cs="Arial"/>
        </w:rPr>
        <w:t>Resolutora</w:t>
      </w:r>
      <w:proofErr w:type="spellEnd"/>
      <w:r w:rsidRPr="0039635C">
        <w:rPr>
          <w:rFonts w:ascii="Palatino Linotype" w:hAnsi="Palatino Linotype" w:cs="Arial"/>
        </w:rPr>
        <w:t xml:space="preserve"> determinó </w:t>
      </w:r>
      <w:r w:rsidR="00E6710F">
        <w:rPr>
          <w:rFonts w:ascii="Palatino Linotype" w:hAnsi="Palatino Linotype" w:cs="Arial"/>
          <w:b/>
        </w:rPr>
        <w:t>ORDENAR</w:t>
      </w:r>
      <w:r w:rsidR="00E6710F">
        <w:rPr>
          <w:rFonts w:ascii="Palatino Linotype" w:hAnsi="Palatino Linotype" w:cs="Arial"/>
        </w:rPr>
        <w:t xml:space="preserve"> al </w:t>
      </w:r>
      <w:r w:rsidR="00E6710F">
        <w:rPr>
          <w:rFonts w:ascii="Palatino Linotype" w:hAnsi="Palatino Linotype" w:cs="Arial"/>
          <w:b/>
        </w:rPr>
        <w:t>SUJETO OBLIGADO</w:t>
      </w:r>
      <w:r w:rsidR="00E6710F" w:rsidRPr="009020F7">
        <w:rPr>
          <w:rFonts w:ascii="Palatino Linotype" w:hAnsi="Palatino Linotype" w:cs="Arial"/>
        </w:rPr>
        <w:t xml:space="preserve">, </w:t>
      </w:r>
      <w:proofErr w:type="spellStart"/>
      <w:r w:rsidR="00E6710F">
        <w:rPr>
          <w:rFonts w:ascii="Palatino Linotype" w:hAnsi="Palatino Linotype" w:cs="Arial"/>
        </w:rPr>
        <w:t>atiendiera</w:t>
      </w:r>
      <w:proofErr w:type="spellEnd"/>
      <w:r w:rsidR="00E6710F">
        <w:rPr>
          <w:rFonts w:ascii="Palatino Linotype" w:hAnsi="Palatino Linotype" w:cs="Arial"/>
        </w:rPr>
        <w:t xml:space="preserve"> las solicitudes de información números </w:t>
      </w:r>
      <w:r w:rsidR="00E6710F" w:rsidRPr="00E6710F">
        <w:rPr>
          <w:rFonts w:ascii="Palatino Linotype" w:hAnsi="Palatino Linotype" w:cs="Arial"/>
          <w:bCs/>
        </w:rPr>
        <w:t>00013/RAYON/IP/2018</w:t>
      </w:r>
      <w:r w:rsidR="00E6710F" w:rsidRPr="00E6710F">
        <w:rPr>
          <w:rFonts w:ascii="Palatino Linotype" w:hAnsi="Palatino Linotype" w:cs="Arial"/>
          <w:lang w:eastAsia="es-MX"/>
        </w:rPr>
        <w:t xml:space="preserve">, </w:t>
      </w:r>
      <w:r w:rsidR="00E6710F" w:rsidRPr="00E6710F">
        <w:rPr>
          <w:rFonts w:ascii="Palatino Linotype" w:hAnsi="Palatino Linotype" w:cs="Arial"/>
          <w:bCs/>
        </w:rPr>
        <w:t>00014/RAYON/IP/2018</w:t>
      </w:r>
      <w:r w:rsidR="00AD2717">
        <w:rPr>
          <w:rFonts w:ascii="Palatino Linotype" w:hAnsi="Palatino Linotype" w:cs="Arial"/>
          <w:lang w:eastAsia="es-MX"/>
        </w:rPr>
        <w:t xml:space="preserve"> y 00016/RAYON/IP/2018,</w:t>
      </w:r>
      <w:r w:rsidR="00E6710F">
        <w:rPr>
          <w:rFonts w:ascii="Palatino Linotype" w:hAnsi="Palatino Linotype" w:cs="Arial"/>
          <w:b/>
        </w:rPr>
        <w:t xml:space="preserve"> </w:t>
      </w:r>
      <w:r w:rsidR="00E6710F">
        <w:rPr>
          <w:rFonts w:ascii="Palatino Linotype" w:hAnsi="Palatino Linotype" w:cs="Arial"/>
        </w:rPr>
        <w:t>haciendo</w:t>
      </w:r>
      <w:r w:rsidR="00E6710F">
        <w:rPr>
          <w:rFonts w:ascii="Palatino Linotype" w:hAnsi="Palatino Linotype" w:cs="Arial"/>
          <w:lang w:eastAsia="es-MX"/>
        </w:rPr>
        <w:t xml:space="preserve"> entrega de lo siguiente:</w:t>
      </w:r>
    </w:p>
    <w:p w:rsidR="00E6710F" w:rsidRDefault="00E6710F" w:rsidP="0039635C">
      <w:pPr>
        <w:spacing w:line="360" w:lineRule="auto"/>
        <w:ind w:right="49"/>
        <w:jc w:val="both"/>
        <w:rPr>
          <w:rFonts w:ascii="Palatino Linotype" w:hAnsi="Palatino Linotype" w:cs="Arial"/>
          <w:lang w:eastAsia="es-MX"/>
        </w:rPr>
      </w:pPr>
    </w:p>
    <w:p w:rsidR="00E6710F" w:rsidRPr="00E6710F" w:rsidRDefault="00E6710F" w:rsidP="00E6710F">
      <w:pPr>
        <w:ind w:left="709" w:right="757"/>
        <w:jc w:val="both"/>
        <w:rPr>
          <w:rFonts w:ascii="Palatino Linotype" w:hAnsi="Palatino Linotype" w:cs="Arial"/>
          <w:i/>
          <w:sz w:val="22"/>
        </w:rPr>
      </w:pPr>
      <w:r>
        <w:rPr>
          <w:rFonts w:ascii="Palatino Linotype" w:hAnsi="Palatino Linotype" w:cs="Arial"/>
          <w:i/>
          <w:sz w:val="22"/>
        </w:rPr>
        <w:t xml:space="preserve">“I. </w:t>
      </w:r>
      <w:r w:rsidRPr="00E6710F">
        <w:rPr>
          <w:rFonts w:ascii="Palatino Linotype" w:hAnsi="Palatino Linotype" w:cs="Arial"/>
          <w:i/>
          <w:sz w:val="22"/>
        </w:rPr>
        <w:t>Respecto a las solicitudes de información  números 00013/RAYON/IP/2018 y 00014/RAYON/IP/2018 haga entrega a través del SAIMEX, del o los documentos, en donde conste lo siguiente:</w:t>
      </w:r>
    </w:p>
    <w:p w:rsidR="00E6710F" w:rsidRDefault="00E6710F" w:rsidP="00E6710F">
      <w:pPr>
        <w:ind w:left="709" w:right="757"/>
        <w:jc w:val="both"/>
        <w:rPr>
          <w:rFonts w:ascii="Palatino Linotype" w:hAnsi="Palatino Linotype" w:cs="Arial"/>
          <w:i/>
          <w:sz w:val="22"/>
        </w:rPr>
      </w:pPr>
    </w:p>
    <w:p w:rsidR="00E6710F" w:rsidRPr="00E6710F" w:rsidRDefault="00E6710F" w:rsidP="00E6710F">
      <w:pPr>
        <w:ind w:left="1416" w:right="757"/>
        <w:jc w:val="both"/>
        <w:rPr>
          <w:rFonts w:ascii="Palatino Linotype" w:hAnsi="Palatino Linotype" w:cs="Arial"/>
          <w:i/>
          <w:sz w:val="22"/>
        </w:rPr>
      </w:pPr>
      <w:r w:rsidRPr="00E6710F">
        <w:rPr>
          <w:rFonts w:ascii="Palatino Linotype" w:hAnsi="Palatino Linotype" w:cs="Arial"/>
          <w:i/>
          <w:sz w:val="22"/>
        </w:rPr>
        <w:t>a)</w:t>
      </w:r>
      <w:r>
        <w:rPr>
          <w:rFonts w:ascii="Palatino Linotype" w:hAnsi="Palatino Linotype" w:cs="Arial"/>
          <w:i/>
          <w:sz w:val="22"/>
        </w:rPr>
        <w:t xml:space="preserve"> </w:t>
      </w:r>
      <w:r w:rsidRPr="00E6710F">
        <w:rPr>
          <w:rFonts w:ascii="Palatino Linotype" w:hAnsi="Palatino Linotype" w:cs="Arial"/>
          <w:i/>
          <w:sz w:val="22"/>
        </w:rPr>
        <w:t>La naturaleza jurídica, así como la propiedad del inmueble denominado “mercado de artesanías”, con sus características, medidas y colindancias.</w:t>
      </w:r>
    </w:p>
    <w:p w:rsidR="00E6710F" w:rsidRDefault="00E6710F" w:rsidP="00E6710F">
      <w:pPr>
        <w:ind w:left="709" w:right="757"/>
        <w:jc w:val="both"/>
        <w:rPr>
          <w:rFonts w:ascii="Palatino Linotype" w:hAnsi="Palatino Linotype" w:cs="Arial"/>
          <w:i/>
          <w:sz w:val="22"/>
        </w:rPr>
      </w:pPr>
    </w:p>
    <w:p w:rsidR="00E6710F" w:rsidRPr="00E6710F" w:rsidRDefault="00E6710F" w:rsidP="00E6710F">
      <w:pPr>
        <w:ind w:left="1416" w:right="757"/>
        <w:jc w:val="both"/>
        <w:rPr>
          <w:rFonts w:ascii="Palatino Linotype" w:hAnsi="Palatino Linotype" w:cs="Arial"/>
          <w:i/>
          <w:sz w:val="22"/>
        </w:rPr>
      </w:pPr>
      <w:r>
        <w:rPr>
          <w:rFonts w:ascii="Palatino Linotype" w:hAnsi="Palatino Linotype" w:cs="Arial"/>
          <w:i/>
          <w:sz w:val="22"/>
        </w:rPr>
        <w:t xml:space="preserve">b) </w:t>
      </w:r>
      <w:r w:rsidRPr="00E6710F">
        <w:rPr>
          <w:rFonts w:ascii="Palatino Linotype" w:hAnsi="Palatino Linotype" w:cs="Arial"/>
          <w:i/>
          <w:sz w:val="22"/>
        </w:rPr>
        <w:t>La autorización para la instalación de una sucursal del Banco Azteca, en el denominado “mercado de artesanías”</w:t>
      </w:r>
    </w:p>
    <w:p w:rsidR="00E6710F" w:rsidRPr="00E6710F" w:rsidRDefault="00E6710F" w:rsidP="00E6710F">
      <w:pPr>
        <w:ind w:left="709" w:right="757"/>
        <w:jc w:val="both"/>
        <w:rPr>
          <w:rFonts w:ascii="Palatino Linotype" w:hAnsi="Palatino Linotype" w:cs="Arial"/>
          <w:i/>
          <w:sz w:val="22"/>
        </w:rPr>
      </w:pPr>
    </w:p>
    <w:p w:rsidR="00E6710F" w:rsidRDefault="00E6710F" w:rsidP="00E6710F">
      <w:pPr>
        <w:ind w:left="709" w:right="757"/>
        <w:jc w:val="both"/>
        <w:rPr>
          <w:rFonts w:ascii="Palatino Linotype" w:hAnsi="Palatino Linotype" w:cs="Arial"/>
          <w:i/>
          <w:sz w:val="22"/>
        </w:rPr>
      </w:pPr>
      <w:r w:rsidRPr="00E6710F">
        <w:rPr>
          <w:rFonts w:ascii="Palatino Linotype" w:hAnsi="Palatino Linotype" w:cs="Arial"/>
          <w:i/>
          <w:sz w:val="22"/>
        </w:rPr>
        <w:t>II.</w:t>
      </w:r>
      <w:r>
        <w:rPr>
          <w:rFonts w:ascii="Palatino Linotype" w:hAnsi="Palatino Linotype" w:cs="Arial"/>
          <w:i/>
          <w:sz w:val="22"/>
        </w:rPr>
        <w:t xml:space="preserve"> </w:t>
      </w:r>
      <w:r w:rsidRPr="00E6710F">
        <w:rPr>
          <w:rFonts w:ascii="Palatino Linotype" w:hAnsi="Palatino Linotype" w:cs="Arial"/>
          <w:i/>
          <w:sz w:val="22"/>
        </w:rPr>
        <w:t>Respecto de la solicitud de información número 00016/RAYON/IP/2018 haga entrega, previo pago de derechos, en copias certificadas del o los documentos, en donde conste:</w:t>
      </w:r>
    </w:p>
    <w:p w:rsidR="00E6710F" w:rsidRPr="00E6710F" w:rsidRDefault="00E6710F" w:rsidP="00E6710F">
      <w:pPr>
        <w:ind w:left="709" w:right="757"/>
        <w:jc w:val="both"/>
        <w:rPr>
          <w:rFonts w:ascii="Palatino Linotype" w:hAnsi="Palatino Linotype" w:cs="Arial"/>
          <w:i/>
          <w:sz w:val="22"/>
        </w:rPr>
      </w:pPr>
    </w:p>
    <w:p w:rsidR="00E6710F" w:rsidRDefault="00E6710F" w:rsidP="00E6710F">
      <w:pPr>
        <w:ind w:left="1416" w:right="757"/>
        <w:jc w:val="both"/>
        <w:rPr>
          <w:rFonts w:ascii="Palatino Linotype" w:hAnsi="Palatino Linotype" w:cs="Arial"/>
          <w:i/>
          <w:sz w:val="22"/>
        </w:rPr>
      </w:pPr>
      <w:r w:rsidRPr="00E6710F">
        <w:rPr>
          <w:rFonts w:ascii="Palatino Linotype" w:hAnsi="Palatino Linotype" w:cs="Arial"/>
          <w:i/>
          <w:sz w:val="22"/>
        </w:rPr>
        <w:t>a)</w:t>
      </w:r>
      <w:r>
        <w:rPr>
          <w:rFonts w:ascii="Palatino Linotype" w:hAnsi="Palatino Linotype" w:cs="Arial"/>
          <w:i/>
          <w:sz w:val="22"/>
        </w:rPr>
        <w:t xml:space="preserve"> </w:t>
      </w:r>
      <w:r w:rsidRPr="00E6710F">
        <w:rPr>
          <w:rFonts w:ascii="Palatino Linotype" w:hAnsi="Palatino Linotype" w:cs="Arial"/>
          <w:i/>
          <w:sz w:val="22"/>
        </w:rPr>
        <w:t>Acta de la Sesión de Cabildo de fecha veintidós de septiembre de dos mil diecisiete</w:t>
      </w:r>
    </w:p>
    <w:p w:rsidR="00E6710F" w:rsidRDefault="00E6710F" w:rsidP="00E6710F">
      <w:pPr>
        <w:ind w:left="709" w:right="757" w:firstLine="707"/>
        <w:jc w:val="both"/>
        <w:rPr>
          <w:rFonts w:ascii="Palatino Linotype" w:hAnsi="Palatino Linotype" w:cs="Arial"/>
          <w:i/>
          <w:sz w:val="22"/>
        </w:rPr>
      </w:pPr>
    </w:p>
    <w:p w:rsidR="00E6710F" w:rsidRPr="00E6710F" w:rsidRDefault="00E6710F" w:rsidP="00E6710F">
      <w:pPr>
        <w:ind w:left="1416" w:right="757"/>
        <w:jc w:val="both"/>
        <w:rPr>
          <w:rFonts w:ascii="Palatino Linotype" w:hAnsi="Palatino Linotype" w:cs="Arial"/>
          <w:i/>
          <w:sz w:val="22"/>
        </w:rPr>
      </w:pPr>
      <w:r w:rsidRPr="00E6710F">
        <w:rPr>
          <w:rFonts w:ascii="Palatino Linotype" w:hAnsi="Palatino Linotype" w:cs="Arial"/>
          <w:i/>
          <w:sz w:val="22"/>
        </w:rPr>
        <w:t>b)</w:t>
      </w:r>
      <w:r>
        <w:rPr>
          <w:rFonts w:ascii="Palatino Linotype" w:hAnsi="Palatino Linotype" w:cs="Arial"/>
          <w:i/>
          <w:sz w:val="22"/>
        </w:rPr>
        <w:t xml:space="preserve"> </w:t>
      </w:r>
      <w:r w:rsidRPr="00E6710F">
        <w:rPr>
          <w:rFonts w:ascii="Palatino Linotype" w:hAnsi="Palatino Linotype" w:cs="Arial"/>
          <w:i/>
          <w:sz w:val="22"/>
        </w:rPr>
        <w:t xml:space="preserve">La consulta ciudadana para permitir la instalación del “Banco Azteca” en el “mercado de artesanías” </w:t>
      </w:r>
    </w:p>
    <w:p w:rsidR="00E6710F" w:rsidRDefault="00E6710F" w:rsidP="00E6710F">
      <w:pPr>
        <w:ind w:left="709" w:right="757"/>
        <w:jc w:val="both"/>
        <w:rPr>
          <w:rFonts w:ascii="Palatino Linotype" w:hAnsi="Palatino Linotype" w:cs="Arial"/>
          <w:i/>
          <w:sz w:val="22"/>
        </w:rPr>
      </w:pPr>
    </w:p>
    <w:p w:rsidR="00E6710F" w:rsidRPr="00E6710F" w:rsidRDefault="00E6710F" w:rsidP="00E6710F">
      <w:pPr>
        <w:ind w:left="1416" w:right="757"/>
        <w:jc w:val="both"/>
        <w:rPr>
          <w:rFonts w:ascii="Palatino Linotype" w:hAnsi="Palatino Linotype" w:cs="Arial"/>
          <w:i/>
          <w:sz w:val="22"/>
        </w:rPr>
      </w:pPr>
      <w:r w:rsidRPr="00E6710F">
        <w:rPr>
          <w:rFonts w:ascii="Palatino Linotype" w:hAnsi="Palatino Linotype" w:cs="Arial"/>
          <w:i/>
          <w:sz w:val="22"/>
        </w:rPr>
        <w:t>c)</w:t>
      </w:r>
      <w:r>
        <w:rPr>
          <w:rFonts w:ascii="Palatino Linotype" w:hAnsi="Palatino Linotype" w:cs="Arial"/>
          <w:i/>
          <w:sz w:val="22"/>
        </w:rPr>
        <w:t xml:space="preserve"> </w:t>
      </w:r>
      <w:r w:rsidRPr="00E6710F">
        <w:rPr>
          <w:rFonts w:ascii="Palatino Linotype" w:hAnsi="Palatino Linotype" w:cs="Arial"/>
          <w:i/>
          <w:sz w:val="22"/>
        </w:rPr>
        <w:t>La naturaleza jurídica, así como la propiedad del inmueble denominado como “mercado de artesanías”, con sus características, medidas y colindancias.</w:t>
      </w:r>
      <w:r>
        <w:rPr>
          <w:rFonts w:ascii="Palatino Linotype" w:hAnsi="Palatino Linotype" w:cs="Arial"/>
          <w:i/>
          <w:sz w:val="22"/>
        </w:rPr>
        <w:t>”</w:t>
      </w:r>
    </w:p>
    <w:p w:rsidR="00242018" w:rsidRPr="0039635C" w:rsidRDefault="00242018" w:rsidP="0039635C">
      <w:pPr>
        <w:spacing w:line="360" w:lineRule="auto"/>
        <w:ind w:right="49"/>
        <w:jc w:val="both"/>
        <w:rPr>
          <w:rFonts w:ascii="Palatino Linotype" w:hAnsi="Palatino Linotype" w:cs="Arial"/>
          <w:lang w:val="es-MX"/>
        </w:rPr>
      </w:pPr>
    </w:p>
    <w:p w:rsidR="00E6710F" w:rsidRDefault="00DC5C4E" w:rsidP="0039635C">
      <w:pPr>
        <w:spacing w:line="360" w:lineRule="auto"/>
        <w:ind w:right="49"/>
        <w:jc w:val="both"/>
        <w:rPr>
          <w:rFonts w:ascii="Palatino Linotype" w:hAnsi="Palatino Linotype" w:cs="Arial"/>
          <w:lang w:val="es-MX"/>
        </w:rPr>
      </w:pPr>
      <w:r w:rsidRPr="0039635C">
        <w:rPr>
          <w:rFonts w:ascii="Palatino Linotype" w:hAnsi="Palatino Linotype" w:cs="Arial"/>
          <w:lang w:val="es-MX"/>
        </w:rPr>
        <w:t xml:space="preserve">En ese sentido, la que suscribe reitera, que si bien coincide en términos generales con el estudio de la resolución en comento, </w:t>
      </w:r>
      <w:r w:rsidR="00E6710F">
        <w:rPr>
          <w:rFonts w:ascii="Palatino Linotype" w:hAnsi="Palatino Linotype" w:cs="Arial"/>
          <w:lang w:val="es-MX"/>
        </w:rPr>
        <w:t>difiero respecto a lo que se ordena en el inciso a) del numeral I y c) del diverso II, tocante a l</w:t>
      </w:r>
      <w:r w:rsidR="00E6710F" w:rsidRPr="00E6710F">
        <w:rPr>
          <w:rFonts w:ascii="Palatino Linotype" w:hAnsi="Palatino Linotype" w:cs="Arial"/>
          <w:lang w:val="es-MX"/>
        </w:rPr>
        <w:t xml:space="preserve">a </w:t>
      </w:r>
      <w:r w:rsidR="00E6710F" w:rsidRPr="00E6710F">
        <w:rPr>
          <w:rFonts w:ascii="Palatino Linotype" w:hAnsi="Palatino Linotype" w:cs="Arial"/>
          <w:b/>
          <w:lang w:val="es-MX"/>
        </w:rPr>
        <w:t>naturaleza jurídica</w:t>
      </w:r>
      <w:r w:rsidR="00E6710F" w:rsidRPr="00E6710F">
        <w:rPr>
          <w:rFonts w:ascii="Palatino Linotype" w:hAnsi="Palatino Linotype" w:cs="Arial"/>
          <w:lang w:val="es-MX"/>
        </w:rPr>
        <w:t xml:space="preserve">, así como la </w:t>
      </w:r>
      <w:r w:rsidR="00E6710F" w:rsidRPr="00E6710F">
        <w:rPr>
          <w:rFonts w:ascii="Palatino Linotype" w:hAnsi="Palatino Linotype" w:cs="Arial"/>
          <w:b/>
          <w:lang w:val="es-MX"/>
        </w:rPr>
        <w:lastRenderedPageBreak/>
        <w:t>propiedad</w:t>
      </w:r>
      <w:r w:rsidR="00E6710F" w:rsidRPr="00E6710F">
        <w:rPr>
          <w:rFonts w:ascii="Palatino Linotype" w:hAnsi="Palatino Linotype" w:cs="Arial"/>
          <w:lang w:val="es-MX"/>
        </w:rPr>
        <w:t xml:space="preserve"> del inmueble denominado “mercado de artesanías”, con sus características, medidas y colindancias</w:t>
      </w:r>
      <w:r w:rsidR="00E6710F">
        <w:rPr>
          <w:rFonts w:ascii="Palatino Linotype" w:hAnsi="Palatino Linotype" w:cs="Arial"/>
          <w:lang w:val="es-MX"/>
        </w:rPr>
        <w:t>.</w:t>
      </w:r>
    </w:p>
    <w:p w:rsidR="00E6710F" w:rsidRDefault="00E6710F" w:rsidP="0039635C">
      <w:pPr>
        <w:spacing w:line="360" w:lineRule="auto"/>
        <w:ind w:right="49"/>
        <w:jc w:val="both"/>
        <w:rPr>
          <w:rFonts w:ascii="Palatino Linotype" w:hAnsi="Palatino Linotype" w:cs="Arial"/>
          <w:lang w:val="es-MX"/>
        </w:rPr>
      </w:pPr>
    </w:p>
    <w:p w:rsidR="00E6710F" w:rsidRDefault="00AD2717" w:rsidP="0039635C">
      <w:pPr>
        <w:spacing w:line="360" w:lineRule="auto"/>
        <w:ind w:right="49"/>
        <w:jc w:val="both"/>
        <w:rPr>
          <w:rFonts w:ascii="Palatino Linotype" w:hAnsi="Palatino Linotype" w:cs="Arial"/>
          <w:lang w:val="es-MX"/>
        </w:rPr>
      </w:pPr>
      <w:r>
        <w:rPr>
          <w:rFonts w:ascii="Palatino Linotype" w:hAnsi="Palatino Linotype" w:cs="Arial"/>
          <w:lang w:val="es-MX"/>
        </w:rPr>
        <w:t>Lo anterior obedece a que</w:t>
      </w:r>
      <w:r w:rsidR="00FA0469">
        <w:rPr>
          <w:rFonts w:ascii="Palatino Linotype" w:hAnsi="Palatino Linotype" w:cs="Arial"/>
          <w:lang w:val="es-MX"/>
        </w:rPr>
        <w:t xml:space="preserve"> en primer término</w:t>
      </w:r>
      <w:r>
        <w:rPr>
          <w:rFonts w:ascii="Palatino Linotype" w:hAnsi="Palatino Linotype" w:cs="Arial"/>
          <w:lang w:val="es-MX"/>
        </w:rPr>
        <w:t>,</w:t>
      </w:r>
      <w:r w:rsidR="00FA0469">
        <w:rPr>
          <w:rFonts w:ascii="Palatino Linotype" w:hAnsi="Palatino Linotype" w:cs="Arial"/>
          <w:lang w:val="es-MX"/>
        </w:rPr>
        <w:t xml:space="preserve"> debemos establecer que la propiedad se conceptualiza como un derecho</w:t>
      </w:r>
      <w:r w:rsidR="00513A9A">
        <w:rPr>
          <w:rFonts w:ascii="Palatino Linotype" w:hAnsi="Palatino Linotype" w:cs="Arial"/>
          <w:lang w:val="es-MX"/>
        </w:rPr>
        <w:t xml:space="preserve"> de exclusión </w:t>
      </w:r>
      <w:r w:rsidR="00FA0469">
        <w:rPr>
          <w:rFonts w:ascii="Palatino Linotype" w:hAnsi="Palatino Linotype" w:cs="Arial"/>
          <w:lang w:val="es-MX"/>
        </w:rPr>
        <w:t>adquirido</w:t>
      </w:r>
      <w:r w:rsidR="00513A9A">
        <w:rPr>
          <w:rFonts w:ascii="Palatino Linotype" w:hAnsi="Palatino Linotype" w:cs="Arial"/>
          <w:lang w:val="es-MX"/>
        </w:rPr>
        <w:t>,</w:t>
      </w:r>
      <w:r w:rsidR="00FA0469">
        <w:rPr>
          <w:rFonts w:ascii="Palatino Linotype" w:hAnsi="Palatino Linotype" w:cs="Arial"/>
          <w:lang w:val="es-MX"/>
        </w:rPr>
        <w:t xml:space="preserve"> </w:t>
      </w:r>
      <w:r w:rsidR="00A92A69">
        <w:rPr>
          <w:rFonts w:ascii="Palatino Linotype" w:hAnsi="Palatino Linotype" w:cs="Arial"/>
          <w:lang w:val="es-MX"/>
        </w:rPr>
        <w:t>asimilado como</w:t>
      </w:r>
      <w:r w:rsidR="00FA0469">
        <w:rPr>
          <w:rFonts w:ascii="Palatino Linotype" w:hAnsi="Palatino Linotype" w:cs="Arial"/>
          <w:lang w:val="es-MX"/>
        </w:rPr>
        <w:t xml:space="preserve"> </w:t>
      </w:r>
      <w:r w:rsidR="00FA0469" w:rsidRPr="00FA0469">
        <w:rPr>
          <w:rFonts w:ascii="Palatino Linotype" w:hAnsi="Palatino Linotype" w:cs="Arial"/>
          <w:lang w:val="es-MX"/>
        </w:rPr>
        <w:t>el acto realizado que introduce un bien, una facultad o un provecho al patrimonio de</w:t>
      </w:r>
      <w:r w:rsidR="00FA0469">
        <w:rPr>
          <w:rFonts w:ascii="Palatino Linotype" w:hAnsi="Palatino Linotype" w:cs="Arial"/>
          <w:lang w:val="es-MX"/>
        </w:rPr>
        <w:t xml:space="preserve"> </w:t>
      </w:r>
      <w:r w:rsidR="00FA0469" w:rsidRPr="00FA0469">
        <w:rPr>
          <w:rFonts w:ascii="Palatino Linotype" w:hAnsi="Palatino Linotype" w:cs="Arial"/>
          <w:lang w:val="es-MX"/>
        </w:rPr>
        <w:t>una persona, y ese hecho no puede afectarse, ni por la voluntad de quienes intervinieron en el</w:t>
      </w:r>
      <w:r w:rsidR="00FA0469">
        <w:rPr>
          <w:rFonts w:ascii="Palatino Linotype" w:hAnsi="Palatino Linotype" w:cs="Arial"/>
          <w:lang w:val="es-MX"/>
        </w:rPr>
        <w:t xml:space="preserve"> </w:t>
      </w:r>
      <w:r w:rsidR="00FA0469" w:rsidRPr="00FA0469">
        <w:rPr>
          <w:rFonts w:ascii="Palatino Linotype" w:hAnsi="Palatino Linotype" w:cs="Arial"/>
          <w:lang w:val="es-MX"/>
        </w:rPr>
        <w:t xml:space="preserve">acto, ni por disposición legal en contrario; </w:t>
      </w:r>
      <w:r w:rsidR="00FA0469">
        <w:rPr>
          <w:rFonts w:ascii="Palatino Linotype" w:hAnsi="Palatino Linotype" w:cs="Arial"/>
          <w:lang w:val="es-MX"/>
        </w:rPr>
        <w:t xml:space="preserve">el cual, para el caso que nos ocupa el Código Civil del Estado de México en su </w:t>
      </w:r>
      <w:r w:rsidR="00FA0469" w:rsidRPr="00FA0469">
        <w:rPr>
          <w:rFonts w:ascii="Palatino Linotype" w:hAnsi="Palatino Linotype" w:cs="Arial"/>
          <w:lang w:val="es-MX"/>
        </w:rPr>
        <w:t>Libro Quinto</w:t>
      </w:r>
      <w:r w:rsidR="00FA0469">
        <w:rPr>
          <w:rFonts w:ascii="Palatino Linotype" w:hAnsi="Palatino Linotype" w:cs="Arial"/>
          <w:lang w:val="es-MX"/>
        </w:rPr>
        <w:t xml:space="preserve"> “</w:t>
      </w:r>
      <w:r w:rsidR="00FA0469" w:rsidRPr="00FA0469">
        <w:rPr>
          <w:rFonts w:ascii="Palatino Linotype" w:hAnsi="Palatino Linotype" w:cs="Arial"/>
          <w:lang w:val="es-MX"/>
        </w:rPr>
        <w:t>De los Bienes</w:t>
      </w:r>
      <w:r w:rsidR="00FA0469">
        <w:rPr>
          <w:rFonts w:ascii="Palatino Linotype" w:hAnsi="Palatino Linotype" w:cs="Arial"/>
          <w:lang w:val="es-MX"/>
        </w:rPr>
        <w:t>”</w:t>
      </w:r>
      <w:r w:rsidR="00FA0469" w:rsidRPr="00FA0469">
        <w:rPr>
          <w:rFonts w:ascii="Palatino Linotype" w:hAnsi="Palatino Linotype" w:cs="Arial"/>
          <w:lang w:val="es-MX"/>
        </w:rPr>
        <w:t xml:space="preserve"> </w:t>
      </w:r>
      <w:r w:rsidR="00804367">
        <w:rPr>
          <w:rFonts w:ascii="Palatino Linotype" w:hAnsi="Palatino Linotype" w:cs="Arial"/>
          <w:lang w:val="es-MX"/>
        </w:rPr>
        <w:t xml:space="preserve">dicta que a quienes </w:t>
      </w:r>
      <w:r w:rsidR="00A92A69">
        <w:rPr>
          <w:rFonts w:ascii="Palatino Linotype" w:hAnsi="Palatino Linotype" w:cs="Arial"/>
          <w:lang w:val="es-MX"/>
        </w:rPr>
        <w:t>les atribuye</w:t>
      </w:r>
      <w:r w:rsidR="00804367">
        <w:rPr>
          <w:rFonts w:ascii="Palatino Linotype" w:hAnsi="Palatino Linotype" w:cs="Arial"/>
          <w:lang w:val="es-MX"/>
        </w:rPr>
        <w:t xml:space="preserve"> este derecho respecto de </w:t>
      </w:r>
      <w:r w:rsidR="00804367" w:rsidRPr="00804367">
        <w:rPr>
          <w:rFonts w:ascii="Palatino Linotype" w:hAnsi="Palatino Linotype" w:cs="Arial"/>
          <w:lang w:val="es-MX"/>
        </w:rPr>
        <w:t>un bien</w:t>
      </w:r>
      <w:r w:rsidR="00804367">
        <w:rPr>
          <w:rFonts w:ascii="Palatino Linotype" w:hAnsi="Palatino Linotype" w:cs="Arial"/>
          <w:lang w:val="es-MX"/>
        </w:rPr>
        <w:t>,</w:t>
      </w:r>
      <w:r w:rsidR="00804367" w:rsidRPr="00804367">
        <w:rPr>
          <w:rFonts w:ascii="Palatino Linotype" w:hAnsi="Palatino Linotype" w:cs="Arial"/>
          <w:lang w:val="es-MX"/>
        </w:rPr>
        <w:t xml:space="preserve"> puede</w:t>
      </w:r>
      <w:r w:rsidR="00804367">
        <w:rPr>
          <w:rFonts w:ascii="Palatino Linotype" w:hAnsi="Palatino Linotype" w:cs="Arial"/>
          <w:lang w:val="es-MX"/>
        </w:rPr>
        <w:t>n</w:t>
      </w:r>
      <w:r w:rsidR="00804367" w:rsidRPr="00804367">
        <w:rPr>
          <w:rFonts w:ascii="Palatino Linotype" w:hAnsi="Palatino Linotype" w:cs="Arial"/>
          <w:lang w:val="es-MX"/>
        </w:rPr>
        <w:t xml:space="preserve"> gozar y dispon</w:t>
      </w:r>
      <w:r w:rsidR="00804367">
        <w:rPr>
          <w:rFonts w:ascii="Palatino Linotype" w:hAnsi="Palatino Linotype" w:cs="Arial"/>
          <w:lang w:val="es-MX"/>
        </w:rPr>
        <w:t xml:space="preserve">er de él con las limitaciones y </w:t>
      </w:r>
      <w:r w:rsidR="00804367" w:rsidRPr="00804367">
        <w:rPr>
          <w:rFonts w:ascii="Palatino Linotype" w:hAnsi="Palatino Linotype" w:cs="Arial"/>
          <w:lang w:val="es-MX"/>
        </w:rPr>
        <w:t>modalidades que fijan las leyes</w:t>
      </w:r>
      <w:r w:rsidR="00804367">
        <w:rPr>
          <w:rFonts w:ascii="Palatino Linotype" w:hAnsi="Palatino Linotype" w:cs="Arial"/>
          <w:lang w:val="es-MX"/>
        </w:rPr>
        <w:t>.</w:t>
      </w:r>
    </w:p>
    <w:p w:rsidR="00804367" w:rsidRDefault="00804367" w:rsidP="0039635C">
      <w:pPr>
        <w:spacing w:line="360" w:lineRule="auto"/>
        <w:ind w:right="49"/>
        <w:jc w:val="both"/>
        <w:rPr>
          <w:rFonts w:ascii="Palatino Linotype" w:hAnsi="Palatino Linotype" w:cs="Arial"/>
          <w:lang w:val="es-MX"/>
        </w:rPr>
      </w:pPr>
    </w:p>
    <w:p w:rsidR="00513A9A" w:rsidRDefault="00513A9A" w:rsidP="00704CEB">
      <w:pPr>
        <w:spacing w:line="360" w:lineRule="auto"/>
        <w:ind w:right="49"/>
        <w:jc w:val="both"/>
        <w:rPr>
          <w:rFonts w:ascii="Palatino Linotype" w:hAnsi="Palatino Linotype" w:cs="Arial"/>
          <w:lang w:val="es-MX"/>
        </w:rPr>
      </w:pPr>
      <w:r>
        <w:rPr>
          <w:rFonts w:ascii="Palatino Linotype" w:hAnsi="Palatino Linotype" w:cs="Arial"/>
          <w:lang w:val="es-MX"/>
        </w:rPr>
        <w:t xml:space="preserve">Entonces, la legitimidad de </w:t>
      </w:r>
      <w:r w:rsidRPr="00513A9A">
        <w:rPr>
          <w:rFonts w:ascii="Palatino Linotype" w:hAnsi="Palatino Linotype" w:cs="Arial"/>
          <w:lang w:val="es-MX"/>
        </w:rPr>
        <w:t xml:space="preserve">que un ser humano disfrute con exclusividad de un bien o derecho, excluyendo al resto la posibilidad de hacerlo, </w:t>
      </w:r>
      <w:r w:rsidR="00AD2717">
        <w:rPr>
          <w:rFonts w:ascii="Palatino Linotype" w:hAnsi="Palatino Linotype" w:cs="Arial"/>
          <w:lang w:val="es-MX"/>
        </w:rPr>
        <w:t xml:space="preserve">es </w:t>
      </w:r>
      <w:r w:rsidR="00704CEB">
        <w:rPr>
          <w:rFonts w:ascii="Palatino Linotype" w:hAnsi="Palatino Linotype" w:cs="Arial"/>
          <w:lang w:val="es-MX"/>
        </w:rPr>
        <w:t>en de donde surge la naturaleza jurídica de la propiedad, al tratarse</w:t>
      </w:r>
      <w:r w:rsidRPr="00513A9A">
        <w:rPr>
          <w:rFonts w:ascii="Palatino Linotype" w:hAnsi="Palatino Linotype" w:cs="Arial"/>
          <w:lang w:val="es-MX"/>
        </w:rPr>
        <w:t xml:space="preserve"> de un derecho de carácter universal, que necesariamente en su forma pasiva (ser poseídos en régimen de propiedad privada) tienen todas las cosas y derechos. No es concebible ningún ente que no sea propiedad privada: la misma naturaleza </w:t>
      </w:r>
      <w:r w:rsidR="00704CEB" w:rsidRPr="00513A9A">
        <w:rPr>
          <w:rFonts w:ascii="Palatino Linotype" w:hAnsi="Palatino Linotype" w:cs="Arial"/>
          <w:lang w:val="es-MX"/>
        </w:rPr>
        <w:t>impersonal</w:t>
      </w:r>
      <w:r w:rsidRPr="00513A9A">
        <w:rPr>
          <w:rFonts w:ascii="Palatino Linotype" w:hAnsi="Palatino Linotype" w:cs="Arial"/>
          <w:lang w:val="es-MX"/>
        </w:rPr>
        <w:t xml:space="preserve"> del ser humano, expresada en la soberanía nacional de los </w:t>
      </w:r>
      <w:r w:rsidR="00AD2717">
        <w:rPr>
          <w:rFonts w:ascii="Palatino Linotype" w:hAnsi="Palatino Linotype" w:cs="Arial"/>
          <w:lang w:val="es-MX"/>
        </w:rPr>
        <w:t>E</w:t>
      </w:r>
      <w:r w:rsidRPr="00513A9A">
        <w:rPr>
          <w:rFonts w:ascii="Palatino Linotype" w:hAnsi="Palatino Linotype" w:cs="Arial"/>
          <w:lang w:val="es-MX"/>
        </w:rPr>
        <w:t xml:space="preserve">stados, hace que todas las cosas y derechos incluidas dentro de un espacio físico sean, subsidiariamente y en caso de no tener dueño, propiedad de la colectividad, representada por el </w:t>
      </w:r>
      <w:r w:rsidR="00AD2717">
        <w:rPr>
          <w:rFonts w:ascii="Palatino Linotype" w:hAnsi="Palatino Linotype" w:cs="Arial"/>
          <w:lang w:val="es-MX"/>
        </w:rPr>
        <w:t>E</w:t>
      </w:r>
      <w:r w:rsidRPr="00513A9A">
        <w:rPr>
          <w:rFonts w:ascii="Palatino Linotype" w:hAnsi="Palatino Linotype" w:cs="Arial"/>
          <w:lang w:val="es-MX"/>
        </w:rPr>
        <w:t>stado.</w:t>
      </w:r>
    </w:p>
    <w:p w:rsidR="00704CEB" w:rsidRDefault="00704CEB" w:rsidP="00704CEB">
      <w:pPr>
        <w:spacing w:line="360" w:lineRule="auto"/>
        <w:ind w:right="49"/>
        <w:jc w:val="both"/>
        <w:rPr>
          <w:rFonts w:ascii="Palatino Linotype" w:hAnsi="Palatino Linotype" w:cs="Arial"/>
          <w:lang w:val="es-MX"/>
        </w:rPr>
      </w:pPr>
    </w:p>
    <w:p w:rsidR="00D0042B" w:rsidRDefault="00704CEB" w:rsidP="00704CEB">
      <w:pPr>
        <w:spacing w:line="360" w:lineRule="auto"/>
        <w:ind w:right="49"/>
        <w:jc w:val="both"/>
        <w:rPr>
          <w:rFonts w:ascii="Palatino Linotype" w:hAnsi="Palatino Linotype" w:cs="Arial"/>
          <w:lang w:val="es-MX"/>
        </w:rPr>
      </w:pPr>
      <w:r>
        <w:rPr>
          <w:rFonts w:ascii="Palatino Linotype" w:hAnsi="Palatino Linotype" w:cs="Arial"/>
          <w:lang w:val="es-MX"/>
        </w:rPr>
        <w:lastRenderedPageBreak/>
        <w:t xml:space="preserve">Por tanto, al ordenar la naturaleza jurídica del inmueble denominado “Mercado de </w:t>
      </w:r>
      <w:r w:rsidR="00D0042B">
        <w:rPr>
          <w:rFonts w:ascii="Palatino Linotype" w:hAnsi="Palatino Linotype" w:cs="Arial"/>
          <w:lang w:val="es-MX"/>
        </w:rPr>
        <w:t>Artesanías</w:t>
      </w:r>
      <w:r>
        <w:rPr>
          <w:rFonts w:ascii="Palatino Linotype" w:hAnsi="Palatino Linotype" w:cs="Arial"/>
          <w:lang w:val="es-MX"/>
        </w:rPr>
        <w:t>” no va encaminado a proporcionar una definición del derecho que se tiene sobre éste a fin de establecer qu</w:t>
      </w:r>
      <w:r w:rsidR="00AD2717">
        <w:rPr>
          <w:rFonts w:ascii="Palatino Linotype" w:hAnsi="Palatino Linotype" w:cs="Arial"/>
          <w:lang w:val="es-MX"/>
        </w:rPr>
        <w:t>é</w:t>
      </w:r>
      <w:r>
        <w:rPr>
          <w:rFonts w:ascii="Palatino Linotype" w:hAnsi="Palatino Linotype" w:cs="Arial"/>
          <w:lang w:val="es-MX"/>
        </w:rPr>
        <w:t xml:space="preserve"> se entiende por tal</w:t>
      </w:r>
      <w:r w:rsidRPr="00704CEB">
        <w:rPr>
          <w:rFonts w:ascii="Palatino Linotype" w:hAnsi="Palatino Linotype" w:cs="Arial"/>
          <w:lang w:val="es-MX"/>
        </w:rPr>
        <w:t>, cuál es su origen, elementos, estructura, etc.</w:t>
      </w:r>
      <w:r>
        <w:rPr>
          <w:rFonts w:ascii="Palatino Linotype" w:hAnsi="Palatino Linotype" w:cs="Arial"/>
          <w:lang w:val="es-MX"/>
        </w:rPr>
        <w:t xml:space="preserve">, </w:t>
      </w:r>
      <w:r w:rsidR="00D0042B">
        <w:rPr>
          <w:rFonts w:ascii="Palatino Linotype" w:hAnsi="Palatino Linotype" w:cs="Arial"/>
          <w:lang w:val="es-MX"/>
        </w:rPr>
        <w:t xml:space="preserve">sino que corresponde a la modalidad de la propiedad en la que se encuentra el bien inmueble, por lo que ordenar la naturaleza jurídica y propiedad resultaría </w:t>
      </w:r>
      <w:r w:rsidR="00AD2717">
        <w:rPr>
          <w:rFonts w:ascii="Palatino Linotype" w:hAnsi="Palatino Linotype" w:cs="Arial"/>
          <w:lang w:val="es-MX"/>
        </w:rPr>
        <w:t xml:space="preserve">innecesario, pues por si, la Ponencia </w:t>
      </w:r>
      <w:proofErr w:type="spellStart"/>
      <w:r w:rsidR="00AD2717">
        <w:rPr>
          <w:rFonts w:ascii="Palatino Linotype" w:hAnsi="Palatino Linotype" w:cs="Arial"/>
          <w:lang w:val="es-MX"/>
        </w:rPr>
        <w:t>Resolutora</w:t>
      </w:r>
      <w:proofErr w:type="spellEnd"/>
      <w:r w:rsidR="00AD2717">
        <w:rPr>
          <w:rFonts w:ascii="Palatino Linotype" w:hAnsi="Palatino Linotype" w:cs="Arial"/>
          <w:lang w:val="es-MX"/>
        </w:rPr>
        <w:t xml:space="preserve"> estaría determinando la naturaleza jurídica del inmueble.</w:t>
      </w:r>
    </w:p>
    <w:p w:rsidR="00D0042B" w:rsidRDefault="00D0042B" w:rsidP="00704CEB">
      <w:pPr>
        <w:spacing w:line="360" w:lineRule="auto"/>
        <w:ind w:right="49"/>
        <w:jc w:val="both"/>
        <w:rPr>
          <w:rFonts w:ascii="Palatino Linotype" w:hAnsi="Palatino Linotype" w:cs="Arial"/>
          <w:lang w:val="es-MX"/>
        </w:rPr>
      </w:pPr>
    </w:p>
    <w:p w:rsidR="008B19A4" w:rsidRPr="008B19A4" w:rsidRDefault="008B19A4" w:rsidP="008B19A4">
      <w:pPr>
        <w:spacing w:line="360" w:lineRule="auto"/>
        <w:ind w:right="49"/>
        <w:jc w:val="both"/>
        <w:rPr>
          <w:rFonts w:ascii="Palatino Linotype" w:hAnsi="Palatino Linotype" w:cs="Arial"/>
          <w:lang w:val="es-MX"/>
        </w:rPr>
      </w:pPr>
      <w:r>
        <w:rPr>
          <w:rFonts w:ascii="Palatino Linotype" w:hAnsi="Palatino Linotype" w:cs="Arial"/>
          <w:lang w:val="es-MX"/>
        </w:rPr>
        <w:t>Por otra parte, es importante resaltar que del análisis a</w:t>
      </w:r>
      <w:r w:rsidRPr="008B19A4">
        <w:rPr>
          <w:rFonts w:ascii="Palatino Linotype" w:hAnsi="Palatino Linotype" w:cs="Arial"/>
          <w:lang w:val="es-MX"/>
        </w:rPr>
        <w:t xml:space="preserve"> las document</w:t>
      </w:r>
      <w:r>
        <w:rPr>
          <w:rFonts w:ascii="Palatino Linotype" w:hAnsi="Palatino Linotype" w:cs="Arial"/>
          <w:lang w:val="es-MX"/>
        </w:rPr>
        <w:t xml:space="preserve">ales que obran en el SAIMEX, </w:t>
      </w:r>
      <w:r w:rsidRPr="008B19A4">
        <w:rPr>
          <w:rFonts w:ascii="Palatino Linotype" w:hAnsi="Palatino Linotype" w:cs="Arial"/>
          <w:lang w:val="es-MX"/>
        </w:rPr>
        <w:t xml:space="preserve">que </w:t>
      </w:r>
      <w:r w:rsidRPr="008B19A4">
        <w:rPr>
          <w:rFonts w:ascii="Palatino Linotype" w:hAnsi="Palatino Linotype" w:cs="Arial"/>
          <w:b/>
          <w:lang w:val="es-MX"/>
        </w:rPr>
        <w:t>EL SUJETO OBLIGADO</w:t>
      </w:r>
      <w:r w:rsidRPr="008B19A4">
        <w:rPr>
          <w:rFonts w:ascii="Palatino Linotype" w:hAnsi="Palatino Linotype" w:cs="Arial"/>
          <w:lang w:val="es-MX"/>
        </w:rPr>
        <w:t xml:space="preserve"> </w:t>
      </w:r>
      <w:r>
        <w:rPr>
          <w:rFonts w:ascii="Palatino Linotype" w:hAnsi="Palatino Linotype" w:cs="Arial"/>
          <w:lang w:val="es-MX"/>
        </w:rPr>
        <w:t>no dio trámite ni atención a las solicitudes de</w:t>
      </w:r>
      <w:r w:rsidR="00F21E0E">
        <w:rPr>
          <w:rFonts w:ascii="Palatino Linotype" w:hAnsi="Palatino Linotype" w:cs="Arial"/>
          <w:lang w:val="es-MX"/>
        </w:rPr>
        <w:t xml:space="preserve"> </w:t>
      </w:r>
      <w:r>
        <w:rPr>
          <w:rFonts w:ascii="Palatino Linotype" w:hAnsi="Palatino Linotype" w:cs="Arial"/>
          <w:lang w:val="es-MX"/>
        </w:rPr>
        <w:t>l</w:t>
      </w:r>
      <w:r w:rsidR="00F21E0E">
        <w:rPr>
          <w:rFonts w:ascii="Palatino Linotype" w:hAnsi="Palatino Linotype" w:cs="Arial"/>
          <w:lang w:val="es-MX"/>
        </w:rPr>
        <w:t>as</w:t>
      </w:r>
      <w:r>
        <w:rPr>
          <w:rFonts w:ascii="Palatino Linotype" w:hAnsi="Palatino Linotype" w:cs="Arial"/>
          <w:lang w:val="es-MX"/>
        </w:rPr>
        <w:t xml:space="preserve"> ciudadan</w:t>
      </w:r>
      <w:r w:rsidR="00F21E0E">
        <w:rPr>
          <w:rFonts w:ascii="Palatino Linotype" w:hAnsi="Palatino Linotype" w:cs="Arial"/>
          <w:lang w:val="es-MX"/>
        </w:rPr>
        <w:t>as</w:t>
      </w:r>
      <w:r>
        <w:rPr>
          <w:rFonts w:ascii="Palatino Linotype" w:hAnsi="Palatino Linotype" w:cs="Arial"/>
          <w:lang w:val="es-MX"/>
        </w:rPr>
        <w:t xml:space="preserve"> omitiendo dar respuesta a estas; por ello</w:t>
      </w:r>
      <w:r w:rsidRPr="008B19A4">
        <w:rPr>
          <w:rFonts w:ascii="Palatino Linotype" w:hAnsi="Palatino Linotype" w:cs="Arial"/>
          <w:lang w:val="es-MX"/>
        </w:rPr>
        <w:t>, este Instituto considera importante traer a contexto lo dispuesto en el artículo 165 de la Ley de Transparencia y Acceso a la Información Pública del Estado de México y Municipios, que a la letra dice:</w:t>
      </w:r>
    </w:p>
    <w:p w:rsidR="008B19A4" w:rsidRPr="008B19A4" w:rsidRDefault="008B19A4" w:rsidP="008B19A4">
      <w:pPr>
        <w:spacing w:line="360" w:lineRule="auto"/>
        <w:ind w:right="49"/>
        <w:jc w:val="both"/>
        <w:rPr>
          <w:rFonts w:ascii="Palatino Linotype" w:hAnsi="Palatino Linotype" w:cs="Arial"/>
          <w:lang w:val="es-MX"/>
        </w:rPr>
      </w:pPr>
    </w:p>
    <w:p w:rsidR="008B19A4" w:rsidRDefault="008B19A4" w:rsidP="008B19A4">
      <w:pPr>
        <w:ind w:left="709" w:right="757"/>
        <w:jc w:val="both"/>
        <w:rPr>
          <w:rFonts w:ascii="Palatino Linotype" w:hAnsi="Palatino Linotype" w:cs="Arial"/>
          <w:i/>
          <w:sz w:val="22"/>
          <w:lang w:val="es-MX"/>
        </w:rPr>
      </w:pPr>
      <w:r w:rsidRPr="008B19A4">
        <w:rPr>
          <w:rFonts w:ascii="Palatino Linotype" w:hAnsi="Palatino Linotype" w:cs="Arial"/>
          <w:i/>
          <w:sz w:val="22"/>
          <w:lang w:val="es-MX"/>
        </w:rPr>
        <w:t>“</w:t>
      </w:r>
      <w:r w:rsidRPr="008B19A4">
        <w:rPr>
          <w:rFonts w:ascii="Palatino Linotype" w:hAnsi="Palatino Linotype" w:cs="Arial"/>
          <w:b/>
          <w:i/>
          <w:sz w:val="22"/>
          <w:lang w:val="es-MX"/>
        </w:rPr>
        <w:t>Artículo 165</w:t>
      </w:r>
      <w:r w:rsidRPr="008B19A4">
        <w:rPr>
          <w:rFonts w:ascii="Palatino Linotype" w:hAnsi="Palatino Linotype" w:cs="Arial"/>
          <w:i/>
          <w:sz w:val="22"/>
          <w:lang w:val="es-MX"/>
        </w:rPr>
        <w:t>. Los sujetos obligados establecerán la forma y términos en que darán trámite interno a las solicitudes en materia de acceso a la información.</w:t>
      </w:r>
    </w:p>
    <w:p w:rsidR="008B19A4" w:rsidRPr="008B19A4" w:rsidRDefault="008B19A4" w:rsidP="008B19A4">
      <w:pPr>
        <w:ind w:left="709" w:right="757"/>
        <w:jc w:val="both"/>
        <w:rPr>
          <w:rFonts w:ascii="Palatino Linotype" w:hAnsi="Palatino Linotype" w:cs="Arial"/>
          <w:i/>
          <w:sz w:val="22"/>
          <w:lang w:val="es-MX"/>
        </w:rPr>
      </w:pPr>
    </w:p>
    <w:p w:rsidR="008B19A4" w:rsidRPr="008B19A4" w:rsidRDefault="008B19A4" w:rsidP="008B19A4">
      <w:pPr>
        <w:ind w:left="709" w:right="757"/>
        <w:jc w:val="both"/>
        <w:rPr>
          <w:rFonts w:ascii="Palatino Linotype" w:hAnsi="Palatino Linotype" w:cs="Arial"/>
          <w:i/>
          <w:sz w:val="22"/>
          <w:lang w:val="es-MX"/>
        </w:rPr>
      </w:pPr>
      <w:r w:rsidRPr="008B19A4">
        <w:rPr>
          <w:rFonts w:ascii="Palatino Linotype" w:hAnsi="Palatino Linotype" w:cs="Arial"/>
          <w:i/>
          <w:sz w:val="22"/>
          <w:lang w:val="es-MX"/>
        </w:rPr>
        <w:t>La información que se entregue en versión pública, cuya modalidad de reproducción o envío tenga un costo, procederá una vez que se acredite el pago respectivo. No puede entenderse como reproducción la elaboración de la misma.</w:t>
      </w:r>
    </w:p>
    <w:p w:rsidR="008B19A4" w:rsidRDefault="008B19A4" w:rsidP="008B19A4">
      <w:pPr>
        <w:ind w:left="709" w:right="757"/>
        <w:jc w:val="both"/>
        <w:rPr>
          <w:rFonts w:ascii="Palatino Linotype" w:hAnsi="Palatino Linotype" w:cs="Arial"/>
          <w:i/>
          <w:sz w:val="22"/>
          <w:lang w:val="es-MX"/>
        </w:rPr>
      </w:pPr>
    </w:p>
    <w:p w:rsidR="008B19A4" w:rsidRPr="008B19A4" w:rsidRDefault="008B19A4" w:rsidP="008B19A4">
      <w:pPr>
        <w:ind w:left="709" w:right="757"/>
        <w:jc w:val="both"/>
        <w:rPr>
          <w:rFonts w:ascii="Palatino Linotype" w:hAnsi="Palatino Linotype" w:cs="Arial"/>
          <w:i/>
          <w:sz w:val="22"/>
          <w:lang w:val="es-MX"/>
        </w:rPr>
      </w:pPr>
      <w:r w:rsidRPr="008B19A4">
        <w:rPr>
          <w:rFonts w:ascii="Palatino Linotype" w:hAnsi="Palatino Linotype" w:cs="Arial"/>
          <w:b/>
          <w:i/>
          <w:sz w:val="22"/>
          <w:lang w:val="es-MX"/>
        </w:rPr>
        <w:t>Ante la falta de respuesta a una solicitud en el plazo previsto y en caso de que proceda el acceso, los costos de reproducción y envío correrán a cargo del sujeto obligado</w:t>
      </w:r>
      <w:r w:rsidRPr="008B19A4">
        <w:rPr>
          <w:rFonts w:ascii="Palatino Linotype" w:hAnsi="Palatino Linotype" w:cs="Arial"/>
          <w:i/>
          <w:sz w:val="22"/>
          <w:lang w:val="es-MX"/>
        </w:rPr>
        <w:t>.”</w:t>
      </w:r>
    </w:p>
    <w:p w:rsidR="008B19A4" w:rsidRPr="008B19A4" w:rsidRDefault="008B19A4" w:rsidP="008B19A4">
      <w:pPr>
        <w:spacing w:line="360" w:lineRule="auto"/>
        <w:ind w:right="49"/>
        <w:jc w:val="both"/>
        <w:rPr>
          <w:rFonts w:ascii="Palatino Linotype" w:hAnsi="Palatino Linotype" w:cs="Arial"/>
          <w:lang w:val="es-MX"/>
        </w:rPr>
      </w:pPr>
    </w:p>
    <w:p w:rsidR="00F21E0E" w:rsidRDefault="008B19A4" w:rsidP="00F21E0E">
      <w:pPr>
        <w:spacing w:line="360" w:lineRule="auto"/>
        <w:ind w:right="49"/>
        <w:jc w:val="both"/>
        <w:rPr>
          <w:rFonts w:ascii="Palatino Linotype" w:hAnsi="Palatino Linotype" w:cs="Arial"/>
          <w:lang w:val="es-MX"/>
        </w:rPr>
      </w:pPr>
      <w:r w:rsidRPr="008B19A4">
        <w:rPr>
          <w:rFonts w:ascii="Palatino Linotype" w:hAnsi="Palatino Linotype" w:cs="Arial"/>
          <w:lang w:val="es-MX"/>
        </w:rPr>
        <w:lastRenderedPageBreak/>
        <w:t xml:space="preserve">De lo anterior, se puede advertir que ante la falta de respuesta a una solicitud los costos de reproducción  y envío correrán a cargo del </w:t>
      </w:r>
      <w:r w:rsidRPr="008B19A4">
        <w:rPr>
          <w:rFonts w:ascii="Palatino Linotype" w:hAnsi="Palatino Linotype" w:cs="Arial"/>
          <w:b/>
          <w:lang w:val="es-MX"/>
        </w:rPr>
        <w:t>SUJETO OBLIGADO</w:t>
      </w:r>
      <w:r w:rsidRPr="008B19A4">
        <w:rPr>
          <w:rFonts w:ascii="Palatino Linotype" w:hAnsi="Palatino Linotype" w:cs="Arial"/>
          <w:lang w:val="es-MX"/>
        </w:rPr>
        <w:t xml:space="preserve">; situación que se actualiza en el presente asunto, </w:t>
      </w:r>
      <w:r>
        <w:rPr>
          <w:rFonts w:ascii="Palatino Linotype" w:hAnsi="Palatino Linotype" w:cs="Arial"/>
          <w:lang w:val="es-MX"/>
        </w:rPr>
        <w:t xml:space="preserve">y por lo que la suscrita considera que la Ponencia </w:t>
      </w:r>
      <w:proofErr w:type="spellStart"/>
      <w:r>
        <w:rPr>
          <w:rFonts w:ascii="Palatino Linotype" w:hAnsi="Palatino Linotype" w:cs="Arial"/>
          <w:lang w:val="es-MX"/>
        </w:rPr>
        <w:t>Resolutora</w:t>
      </w:r>
      <w:proofErr w:type="spellEnd"/>
      <w:r>
        <w:rPr>
          <w:rFonts w:ascii="Palatino Linotype" w:hAnsi="Palatino Linotype" w:cs="Arial"/>
          <w:lang w:val="es-MX"/>
        </w:rPr>
        <w:t xml:space="preserve"> debió pronunciarse respecto a la improcedencia d</w:t>
      </w:r>
      <w:r w:rsidRPr="008B19A4">
        <w:rPr>
          <w:rFonts w:ascii="Palatino Linotype" w:hAnsi="Palatino Linotype" w:cs="Arial"/>
          <w:lang w:val="es-MX"/>
        </w:rPr>
        <w:t>el pago de los derechos correspondientes por parte de</w:t>
      </w:r>
      <w:r>
        <w:rPr>
          <w:rFonts w:ascii="Palatino Linotype" w:hAnsi="Palatino Linotype" w:cs="Arial"/>
          <w:lang w:val="es-MX"/>
        </w:rPr>
        <w:t xml:space="preserve"> </w:t>
      </w:r>
      <w:r w:rsidRPr="008B19A4">
        <w:rPr>
          <w:rFonts w:ascii="Palatino Linotype" w:hAnsi="Palatino Linotype" w:cs="Arial"/>
          <w:lang w:val="es-MX"/>
        </w:rPr>
        <w:t>l</w:t>
      </w:r>
      <w:r>
        <w:rPr>
          <w:rFonts w:ascii="Palatino Linotype" w:hAnsi="Palatino Linotype" w:cs="Arial"/>
          <w:lang w:val="es-MX"/>
        </w:rPr>
        <w:t>a</w:t>
      </w:r>
      <w:r w:rsidR="00F21E0E">
        <w:rPr>
          <w:rFonts w:ascii="Palatino Linotype" w:hAnsi="Palatino Linotype" w:cs="Arial"/>
          <w:lang w:val="es-MX"/>
        </w:rPr>
        <w:t>s</w:t>
      </w:r>
      <w:r w:rsidRPr="008B19A4">
        <w:rPr>
          <w:rFonts w:ascii="Palatino Linotype" w:hAnsi="Palatino Linotype" w:cs="Arial"/>
          <w:lang w:val="es-MX"/>
        </w:rPr>
        <w:t xml:space="preserve"> ahora </w:t>
      </w:r>
      <w:r w:rsidRPr="008B19A4">
        <w:rPr>
          <w:rFonts w:ascii="Palatino Linotype" w:hAnsi="Palatino Linotype" w:cs="Arial"/>
          <w:b/>
          <w:lang w:val="es-MX"/>
        </w:rPr>
        <w:t>RECURRENTE</w:t>
      </w:r>
      <w:r w:rsidR="00F21E0E">
        <w:rPr>
          <w:rFonts w:ascii="Palatino Linotype" w:hAnsi="Palatino Linotype" w:cs="Arial"/>
          <w:b/>
          <w:lang w:val="es-MX"/>
        </w:rPr>
        <w:t>S</w:t>
      </w:r>
      <w:r>
        <w:rPr>
          <w:rFonts w:ascii="Palatino Linotype" w:hAnsi="Palatino Linotype" w:cs="Arial"/>
          <w:b/>
          <w:lang w:val="es-MX"/>
        </w:rPr>
        <w:t xml:space="preserve"> </w:t>
      </w:r>
      <w:r w:rsidRPr="00F21E0E">
        <w:rPr>
          <w:rFonts w:ascii="Palatino Linotype" w:hAnsi="Palatino Linotype" w:cs="Arial"/>
          <w:lang w:val="es-MX"/>
        </w:rPr>
        <w:t>y sólo informarle</w:t>
      </w:r>
      <w:r w:rsidRPr="008B19A4">
        <w:rPr>
          <w:rFonts w:ascii="Palatino Linotype" w:hAnsi="Palatino Linotype" w:cs="Arial"/>
          <w:lang w:val="es-MX"/>
        </w:rPr>
        <w:t xml:space="preserve"> el lugar, día y hora en que</w:t>
      </w:r>
      <w:r w:rsidR="00F21E0E">
        <w:rPr>
          <w:rFonts w:ascii="Palatino Linotype" w:hAnsi="Palatino Linotype" w:cs="Arial"/>
          <w:lang w:val="es-MX"/>
        </w:rPr>
        <w:t xml:space="preserve"> </w:t>
      </w:r>
      <w:r w:rsidR="00F21E0E" w:rsidRPr="00C41E7D">
        <w:rPr>
          <w:rFonts w:ascii="Palatino Linotype" w:eastAsia="Arial Unicode MS" w:hAnsi="Palatino Linotype" w:cs="Arial"/>
        </w:rPr>
        <w:t>debe recoger las copias certificadas</w:t>
      </w:r>
      <w:r w:rsidR="00AD2717">
        <w:rPr>
          <w:rFonts w:ascii="Palatino Linotype" w:eastAsia="Arial Unicode MS" w:hAnsi="Palatino Linotype" w:cs="Arial"/>
        </w:rPr>
        <w:t xml:space="preserve"> de la información requerida.</w:t>
      </w:r>
    </w:p>
    <w:p w:rsidR="00F21E0E" w:rsidRDefault="00F21E0E" w:rsidP="00F21E0E">
      <w:pPr>
        <w:spacing w:line="360" w:lineRule="auto"/>
        <w:ind w:right="49"/>
        <w:jc w:val="both"/>
        <w:rPr>
          <w:rFonts w:ascii="Palatino Linotype" w:hAnsi="Palatino Linotype" w:cs="Arial"/>
          <w:lang w:val="es-MX"/>
        </w:rPr>
      </w:pPr>
    </w:p>
    <w:p w:rsidR="00F21E0E" w:rsidRPr="00F21E0E" w:rsidRDefault="00F21E0E" w:rsidP="00F21E0E">
      <w:pPr>
        <w:spacing w:line="360" w:lineRule="auto"/>
        <w:ind w:right="49"/>
        <w:jc w:val="both"/>
        <w:rPr>
          <w:rFonts w:ascii="Palatino Linotype" w:hAnsi="Palatino Linotype" w:cs="Arial"/>
          <w:lang w:val="es-MX"/>
        </w:rPr>
      </w:pPr>
      <w:r>
        <w:rPr>
          <w:rFonts w:ascii="Palatino Linotype" w:hAnsi="Palatino Linotype" w:cs="Arial"/>
        </w:rPr>
        <w:t xml:space="preserve">Atento a los argumentos de hecho y de derecho anteriormente expuestos, la que suscribe emite </w:t>
      </w:r>
      <w:r>
        <w:rPr>
          <w:rFonts w:ascii="Palatino Linotype" w:hAnsi="Palatino Linotype" w:cs="Arial"/>
          <w:b/>
        </w:rPr>
        <w:t>VOTO PARTICULAR</w:t>
      </w:r>
      <w:r>
        <w:rPr>
          <w:rFonts w:ascii="Palatino Linotype" w:hAnsi="Palatino Linotype" w:cs="Arial"/>
        </w:rPr>
        <w:t>, puesto que se estima que debieron haberse precisado las consideraciones enunciadas en el presente voto, en atención a los principios que consagra el artículo 9 de la Ley de Transparencia y Acceso a la Información Pública del Estado de México y Municipios.</w:t>
      </w:r>
    </w:p>
    <w:tbl>
      <w:tblPr>
        <w:tblW w:w="4393" w:type="dxa"/>
        <w:jc w:val="center"/>
        <w:tblLayout w:type="fixed"/>
        <w:tblLook w:val="04A0" w:firstRow="1" w:lastRow="0" w:firstColumn="1" w:lastColumn="0" w:noHBand="0" w:noVBand="1"/>
      </w:tblPr>
      <w:tblGrid>
        <w:gridCol w:w="4393"/>
      </w:tblGrid>
      <w:tr w:rsidR="00F21E0E" w:rsidRPr="00A305AC" w:rsidTr="0024316E">
        <w:trPr>
          <w:jc w:val="center"/>
        </w:trPr>
        <w:tc>
          <w:tcPr>
            <w:tcW w:w="4393" w:type="dxa"/>
          </w:tcPr>
          <w:p w:rsidR="00F21E0E" w:rsidRDefault="00F21E0E" w:rsidP="0024316E">
            <w:pPr>
              <w:spacing w:line="360" w:lineRule="auto"/>
              <w:ind w:right="-164"/>
              <w:jc w:val="center"/>
              <w:rPr>
                <w:rFonts w:ascii="Palatino Linotype" w:hAnsi="Palatino Linotype"/>
                <w:b/>
              </w:rPr>
            </w:pPr>
          </w:p>
          <w:p w:rsidR="00F21E0E" w:rsidRDefault="00F21E0E" w:rsidP="0024316E">
            <w:pPr>
              <w:spacing w:line="360" w:lineRule="auto"/>
              <w:ind w:right="-164"/>
              <w:jc w:val="center"/>
              <w:rPr>
                <w:rFonts w:ascii="Palatino Linotype" w:hAnsi="Palatino Linotype"/>
                <w:b/>
              </w:rPr>
            </w:pPr>
          </w:p>
          <w:p w:rsidR="00F21E0E" w:rsidRDefault="00F21E0E" w:rsidP="0024316E">
            <w:pPr>
              <w:spacing w:line="360" w:lineRule="auto"/>
              <w:ind w:right="-164"/>
              <w:jc w:val="center"/>
              <w:rPr>
                <w:rFonts w:ascii="Palatino Linotype" w:hAnsi="Palatino Linotype"/>
                <w:b/>
              </w:rPr>
            </w:pPr>
          </w:p>
          <w:p w:rsidR="00F21E0E" w:rsidRDefault="00F21E0E" w:rsidP="0024316E">
            <w:pPr>
              <w:spacing w:line="360" w:lineRule="auto"/>
              <w:ind w:right="-164"/>
              <w:jc w:val="center"/>
              <w:rPr>
                <w:rFonts w:ascii="Palatino Linotype" w:hAnsi="Palatino Linotype"/>
                <w:b/>
              </w:rPr>
            </w:pPr>
          </w:p>
          <w:p w:rsidR="00F21E0E" w:rsidRPr="00A305AC" w:rsidRDefault="00F21E0E" w:rsidP="0024316E">
            <w:pPr>
              <w:ind w:right="-164"/>
              <w:jc w:val="center"/>
              <w:rPr>
                <w:rFonts w:ascii="Palatino Linotype" w:hAnsi="Palatino Linotype"/>
                <w:b/>
              </w:rPr>
            </w:pPr>
            <w:bookmarkStart w:id="0" w:name="_GoBack"/>
            <w:bookmarkEnd w:id="0"/>
            <w:r w:rsidRPr="00A305AC">
              <w:rPr>
                <w:rFonts w:ascii="Palatino Linotype" w:hAnsi="Palatino Linotype"/>
                <w:b/>
              </w:rPr>
              <w:t xml:space="preserve">EVA ABAID YAPUR </w:t>
            </w:r>
          </w:p>
          <w:p w:rsidR="00F21E0E" w:rsidRDefault="00F21E0E" w:rsidP="0044354B">
            <w:pPr>
              <w:ind w:right="-164"/>
              <w:jc w:val="center"/>
              <w:rPr>
                <w:rFonts w:ascii="Palatino Linotype" w:hAnsi="Palatino Linotype"/>
                <w:b/>
              </w:rPr>
            </w:pPr>
            <w:r w:rsidRPr="00A305AC">
              <w:rPr>
                <w:rFonts w:ascii="Palatino Linotype" w:hAnsi="Palatino Linotype"/>
                <w:b/>
              </w:rPr>
              <w:t>COMISIONADA</w:t>
            </w:r>
          </w:p>
          <w:p w:rsidR="002B346A" w:rsidRPr="00A305AC" w:rsidRDefault="002B346A" w:rsidP="0044354B">
            <w:pPr>
              <w:ind w:right="-164"/>
              <w:jc w:val="center"/>
              <w:rPr>
                <w:rFonts w:ascii="Palatino Linotype" w:hAnsi="Palatino Linotype"/>
                <w:b/>
              </w:rPr>
            </w:pPr>
            <w:r>
              <w:rPr>
                <w:rFonts w:ascii="Palatino Linotype" w:hAnsi="Palatino Linotype" w:cs="Arial"/>
                <w:b/>
              </w:rPr>
              <w:t>(RÚBRICA)</w:t>
            </w:r>
          </w:p>
        </w:tc>
      </w:tr>
    </w:tbl>
    <w:p w:rsidR="00F21E0E" w:rsidRDefault="00F21E0E" w:rsidP="00F21E0E">
      <w:pPr>
        <w:pStyle w:val="Encabezado"/>
        <w:tabs>
          <w:tab w:val="clear" w:pos="4252"/>
          <w:tab w:val="clear" w:pos="8504"/>
          <w:tab w:val="left" w:pos="2326"/>
        </w:tabs>
        <w:ind w:right="-93"/>
        <w:jc w:val="both"/>
        <w:rPr>
          <w:rFonts w:ascii="Palatino Linotype" w:eastAsia="Calibri" w:hAnsi="Palatino Linotype" w:cs="Arial"/>
          <w:color w:val="000000" w:themeColor="text1"/>
          <w:sz w:val="22"/>
          <w:szCs w:val="22"/>
        </w:rPr>
      </w:pPr>
    </w:p>
    <w:p w:rsidR="0044354B" w:rsidRDefault="0044354B" w:rsidP="00F21E0E">
      <w:pPr>
        <w:pStyle w:val="Encabezado"/>
        <w:tabs>
          <w:tab w:val="clear" w:pos="4252"/>
          <w:tab w:val="clear" w:pos="8504"/>
          <w:tab w:val="left" w:pos="2326"/>
        </w:tabs>
        <w:ind w:right="-93"/>
        <w:jc w:val="both"/>
        <w:rPr>
          <w:rFonts w:ascii="Palatino Linotype" w:eastAsia="Calibri" w:hAnsi="Palatino Linotype" w:cs="Arial"/>
          <w:color w:val="000000" w:themeColor="text1"/>
          <w:sz w:val="22"/>
          <w:szCs w:val="22"/>
        </w:rPr>
      </w:pPr>
    </w:p>
    <w:p w:rsidR="0044354B" w:rsidRDefault="0044354B" w:rsidP="00F21E0E">
      <w:pPr>
        <w:pStyle w:val="Encabezado"/>
        <w:tabs>
          <w:tab w:val="clear" w:pos="4252"/>
          <w:tab w:val="clear" w:pos="8504"/>
          <w:tab w:val="left" w:pos="2326"/>
        </w:tabs>
        <w:ind w:right="-93"/>
        <w:jc w:val="both"/>
        <w:rPr>
          <w:rFonts w:ascii="Palatino Linotype" w:eastAsia="Calibri" w:hAnsi="Palatino Linotype" w:cs="Arial"/>
          <w:color w:val="000000" w:themeColor="text1"/>
          <w:sz w:val="22"/>
          <w:szCs w:val="22"/>
        </w:rPr>
      </w:pPr>
    </w:p>
    <w:p w:rsidR="00F21E0E" w:rsidRPr="0044354B" w:rsidRDefault="00F21E0E" w:rsidP="00F21E0E">
      <w:pPr>
        <w:pStyle w:val="Encabezado"/>
        <w:tabs>
          <w:tab w:val="clear" w:pos="4252"/>
          <w:tab w:val="clear" w:pos="8504"/>
          <w:tab w:val="left" w:pos="2326"/>
        </w:tabs>
        <w:ind w:right="-93"/>
        <w:jc w:val="both"/>
        <w:rPr>
          <w:rFonts w:ascii="Palatino Linotype" w:eastAsia="Calibri" w:hAnsi="Palatino Linotype" w:cs="Arial"/>
          <w:color w:val="000000" w:themeColor="text1"/>
          <w:sz w:val="21"/>
          <w:szCs w:val="21"/>
        </w:rPr>
      </w:pPr>
      <w:r w:rsidRPr="0044354B">
        <w:rPr>
          <w:rFonts w:ascii="Palatino Linotype" w:eastAsia="Calibri" w:hAnsi="Palatino Linotype" w:cs="Arial"/>
          <w:color w:val="000000" w:themeColor="text1"/>
          <w:sz w:val="21"/>
          <w:szCs w:val="21"/>
        </w:rPr>
        <w:t xml:space="preserve">Esta hoja corresponde al voto particular emitido en la resolución de los </w:t>
      </w:r>
      <w:r w:rsidRPr="0044354B">
        <w:rPr>
          <w:rFonts w:ascii="Palatino Linotype" w:hAnsi="Palatino Linotype" w:cs="Arial"/>
          <w:sz w:val="21"/>
          <w:szCs w:val="21"/>
        </w:rPr>
        <w:t xml:space="preserve">recursos de revisión 02125/INFOEM/IP/RR/2018, 02152/INFOEM/IP/RR/2018 y 02375/INFOEM/IP/RR/2018 </w:t>
      </w:r>
      <w:r w:rsidRPr="0044354B">
        <w:rPr>
          <w:rFonts w:ascii="Palatino Linotype" w:eastAsia="Calibri" w:hAnsi="Palatino Linotype" w:cs="Arial"/>
          <w:color w:val="000000" w:themeColor="text1"/>
          <w:sz w:val="21"/>
          <w:szCs w:val="21"/>
        </w:rPr>
        <w:t xml:space="preserve">acumulados, aprobada el veintidós de agosto de dos mil dieciocho. </w:t>
      </w:r>
    </w:p>
    <w:p w:rsidR="0044354B" w:rsidRPr="0044354B" w:rsidRDefault="0044354B" w:rsidP="00F21E0E">
      <w:pPr>
        <w:pStyle w:val="Encabezado"/>
        <w:tabs>
          <w:tab w:val="clear" w:pos="4252"/>
          <w:tab w:val="clear" w:pos="8504"/>
          <w:tab w:val="left" w:pos="2326"/>
        </w:tabs>
        <w:ind w:right="-93"/>
        <w:jc w:val="both"/>
        <w:rPr>
          <w:rFonts w:ascii="Palatino Linotype" w:eastAsia="Calibri" w:hAnsi="Palatino Linotype" w:cs="Arial"/>
          <w:color w:val="000000" w:themeColor="text1"/>
          <w:sz w:val="4"/>
          <w:szCs w:val="21"/>
        </w:rPr>
      </w:pPr>
    </w:p>
    <w:p w:rsidR="00E14680" w:rsidRPr="0044354B" w:rsidRDefault="00F21E0E" w:rsidP="0044354B">
      <w:pPr>
        <w:pStyle w:val="Encabezado"/>
        <w:tabs>
          <w:tab w:val="clear" w:pos="4252"/>
          <w:tab w:val="clear" w:pos="8504"/>
          <w:tab w:val="left" w:pos="2326"/>
        </w:tabs>
        <w:ind w:right="-93"/>
        <w:jc w:val="both"/>
        <w:rPr>
          <w:rFonts w:ascii="Palatino Linotype" w:eastAsia="Calibri" w:hAnsi="Palatino Linotype" w:cs="Arial"/>
          <w:color w:val="000000" w:themeColor="text1"/>
          <w:sz w:val="21"/>
          <w:szCs w:val="21"/>
        </w:rPr>
      </w:pPr>
      <w:r w:rsidRPr="0044354B">
        <w:rPr>
          <w:rFonts w:ascii="Palatino Linotype" w:eastAsia="Calibri" w:hAnsi="Palatino Linotype" w:cs="Arial"/>
          <w:color w:val="000000" w:themeColor="text1"/>
          <w:sz w:val="21"/>
          <w:szCs w:val="21"/>
        </w:rPr>
        <w:t>YSM/ATU</w:t>
      </w:r>
    </w:p>
    <w:sectPr w:rsidR="00E14680" w:rsidRPr="0044354B"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56D" w:rsidRDefault="0019556D" w:rsidP="00E41B3B">
      <w:r>
        <w:separator/>
      </w:r>
    </w:p>
  </w:endnote>
  <w:endnote w:type="continuationSeparator" w:id="0">
    <w:p w:rsidR="0019556D" w:rsidRDefault="0019556D"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B346A">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B346A">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56D" w:rsidRDefault="0019556D" w:rsidP="00E41B3B">
      <w:r>
        <w:separator/>
      </w:r>
    </w:p>
  </w:footnote>
  <w:footnote w:type="continuationSeparator" w:id="0">
    <w:p w:rsidR="0019556D" w:rsidRDefault="0019556D"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9556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242018" w:rsidRDefault="00242018" w:rsidP="00DC5C4E">
    <w:pPr>
      <w:pStyle w:val="Encabezado"/>
      <w:tabs>
        <w:tab w:val="clear" w:pos="4252"/>
        <w:tab w:val="clear" w:pos="8504"/>
        <w:tab w:val="left" w:pos="2326"/>
      </w:tabs>
      <w:jc w:val="right"/>
      <w:rPr>
        <w:rFonts w:ascii="Palatino Linotype" w:hAnsi="Palatino Linotype" w:cs="Arial"/>
        <w:sz w:val="20"/>
        <w:szCs w:val="20"/>
      </w:rPr>
    </w:pPr>
  </w:p>
  <w:p w:rsidR="00242018" w:rsidRDefault="00242018"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5C7C8F"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5A28C0" w:rsidP="0039635C">
    <w:pPr>
      <w:pStyle w:val="Encabezado"/>
      <w:tabs>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005C7C8F" w:rsidRPr="00706042">
      <w:rPr>
        <w:rFonts w:ascii="Palatino Linotype" w:hAnsi="Palatino Linotype" w:cs="Arial"/>
        <w:sz w:val="20"/>
        <w:szCs w:val="20"/>
      </w:rPr>
      <w:t>RECURSO</w:t>
    </w:r>
    <w:r w:rsidR="0039635C">
      <w:rPr>
        <w:rFonts w:ascii="Palatino Linotype" w:hAnsi="Palatino Linotype" w:cs="Arial"/>
        <w:sz w:val="20"/>
        <w:szCs w:val="20"/>
      </w:rPr>
      <w:t>S</w:t>
    </w:r>
    <w:r w:rsidR="005C7C8F" w:rsidRPr="00706042">
      <w:rPr>
        <w:rFonts w:ascii="Palatino Linotype" w:hAnsi="Palatino Linotype" w:cs="Arial"/>
        <w:sz w:val="20"/>
        <w:szCs w:val="20"/>
      </w:rPr>
      <w:t xml:space="preserve"> DE REVISIÓN </w:t>
    </w:r>
    <w:r w:rsidR="0039635C">
      <w:rPr>
        <w:rFonts w:ascii="Palatino Linotype" w:hAnsi="Palatino Linotype" w:cs="Arial"/>
        <w:sz w:val="20"/>
        <w:szCs w:val="20"/>
      </w:rPr>
      <w:t xml:space="preserve">02125/INFOEM/IP/RR/2018, </w:t>
    </w:r>
    <w:r w:rsidR="0039635C" w:rsidRPr="0039635C">
      <w:rPr>
        <w:rFonts w:ascii="Palatino Linotype" w:hAnsi="Palatino Linotype" w:cs="Arial"/>
        <w:sz w:val="20"/>
        <w:szCs w:val="20"/>
      </w:rPr>
      <w:t>02152/INFOEM/IP/RR/2018 y 02375/INFOEM/IP/RR/2018</w:t>
    </w:r>
  </w:p>
  <w:p w:rsidR="005A28C0" w:rsidRDefault="0019556D"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69.3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9556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D6829"/>
    <w:multiLevelType w:val="hybridMultilevel"/>
    <w:tmpl w:val="9CE212B4"/>
    <w:lvl w:ilvl="0" w:tplc="730AE35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2EBE6927"/>
    <w:multiLevelType w:val="hybridMultilevel"/>
    <w:tmpl w:val="4692DF00"/>
    <w:lvl w:ilvl="0" w:tplc="95289A34">
      <w:start w:val="1"/>
      <w:numFmt w:val="decimal"/>
      <w:lvlText w:val="%1."/>
      <w:lvlJc w:val="left"/>
      <w:pPr>
        <w:ind w:left="1429" w:hanging="720"/>
      </w:pPr>
      <w:rPr>
        <w:rFonts w:ascii="Palatino Linotype" w:eastAsia="Calibri" w:hAnsi="Palatino Linotype"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6E3CC9"/>
    <w:multiLevelType w:val="hybridMultilevel"/>
    <w:tmpl w:val="39A6031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15:restartNumberingAfterBreak="0">
    <w:nsid w:val="50104C00"/>
    <w:multiLevelType w:val="hybridMultilevel"/>
    <w:tmpl w:val="B44A32B2"/>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15:restartNumberingAfterBreak="0">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9B54D8D"/>
    <w:multiLevelType w:val="hybridMultilevel"/>
    <w:tmpl w:val="9C6442D0"/>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66EB0BDF"/>
    <w:multiLevelType w:val="hybridMultilevel"/>
    <w:tmpl w:val="B5FCFC60"/>
    <w:lvl w:ilvl="0" w:tplc="5CB646C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6DFF1A47"/>
    <w:multiLevelType w:val="hybridMultilevel"/>
    <w:tmpl w:val="0C8A6AD0"/>
    <w:lvl w:ilvl="0" w:tplc="B240D0AC">
      <w:start w:val="9"/>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0A4B03"/>
    <w:multiLevelType w:val="hybridMultilevel"/>
    <w:tmpl w:val="F7AE88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7"/>
  </w:num>
  <w:num w:numId="5">
    <w:abstractNumId w:val="9"/>
  </w:num>
  <w:num w:numId="6">
    <w:abstractNumId w:val="1"/>
  </w:num>
  <w:num w:numId="7">
    <w:abstractNumId w:val="0"/>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056C5"/>
    <w:rsid w:val="00015D00"/>
    <w:rsid w:val="00017A8B"/>
    <w:rsid w:val="00036109"/>
    <w:rsid w:val="000450C7"/>
    <w:rsid w:val="00090AAC"/>
    <w:rsid w:val="000A6958"/>
    <w:rsid w:val="00101AC9"/>
    <w:rsid w:val="00122242"/>
    <w:rsid w:val="00141D1C"/>
    <w:rsid w:val="00146755"/>
    <w:rsid w:val="0016404C"/>
    <w:rsid w:val="00164D8A"/>
    <w:rsid w:val="00186535"/>
    <w:rsid w:val="0019398B"/>
    <w:rsid w:val="0019556D"/>
    <w:rsid w:val="001A7CEE"/>
    <w:rsid w:val="001C3DCD"/>
    <w:rsid w:val="001F2929"/>
    <w:rsid w:val="00216380"/>
    <w:rsid w:val="00242018"/>
    <w:rsid w:val="00260F19"/>
    <w:rsid w:val="00270A69"/>
    <w:rsid w:val="00296C85"/>
    <w:rsid w:val="002B346A"/>
    <w:rsid w:val="002C638A"/>
    <w:rsid w:val="0031149D"/>
    <w:rsid w:val="00324EBE"/>
    <w:rsid w:val="00362BD6"/>
    <w:rsid w:val="0037342D"/>
    <w:rsid w:val="003948FF"/>
    <w:rsid w:val="0039635C"/>
    <w:rsid w:val="003C2F6A"/>
    <w:rsid w:val="003C6346"/>
    <w:rsid w:val="00420511"/>
    <w:rsid w:val="004214FD"/>
    <w:rsid w:val="00437359"/>
    <w:rsid w:val="00440036"/>
    <w:rsid w:val="0044354B"/>
    <w:rsid w:val="00446B28"/>
    <w:rsid w:val="004565D6"/>
    <w:rsid w:val="00463EE4"/>
    <w:rsid w:val="0048476A"/>
    <w:rsid w:val="00500D4C"/>
    <w:rsid w:val="00503834"/>
    <w:rsid w:val="00513A9A"/>
    <w:rsid w:val="00515B55"/>
    <w:rsid w:val="0053148C"/>
    <w:rsid w:val="005478BD"/>
    <w:rsid w:val="005505A3"/>
    <w:rsid w:val="00571131"/>
    <w:rsid w:val="005A28C0"/>
    <w:rsid w:val="005A4D7F"/>
    <w:rsid w:val="005C7C8F"/>
    <w:rsid w:val="005F3E71"/>
    <w:rsid w:val="00654FE9"/>
    <w:rsid w:val="00672FC7"/>
    <w:rsid w:val="00674996"/>
    <w:rsid w:val="006801D4"/>
    <w:rsid w:val="00696DC8"/>
    <w:rsid w:val="00697966"/>
    <w:rsid w:val="006A1C64"/>
    <w:rsid w:val="006B109D"/>
    <w:rsid w:val="006B30CD"/>
    <w:rsid w:val="00704CEB"/>
    <w:rsid w:val="00712C80"/>
    <w:rsid w:val="007170C1"/>
    <w:rsid w:val="00725B3B"/>
    <w:rsid w:val="00741A71"/>
    <w:rsid w:val="00756313"/>
    <w:rsid w:val="007B2574"/>
    <w:rsid w:val="007C7A0C"/>
    <w:rsid w:val="00804367"/>
    <w:rsid w:val="00811B0B"/>
    <w:rsid w:val="00820D1B"/>
    <w:rsid w:val="00842E34"/>
    <w:rsid w:val="008542C4"/>
    <w:rsid w:val="00864D3F"/>
    <w:rsid w:val="00891373"/>
    <w:rsid w:val="008A35FA"/>
    <w:rsid w:val="008B0732"/>
    <w:rsid w:val="008B19A4"/>
    <w:rsid w:val="008C16DF"/>
    <w:rsid w:val="008E5C82"/>
    <w:rsid w:val="0094130F"/>
    <w:rsid w:val="009701AB"/>
    <w:rsid w:val="00990B93"/>
    <w:rsid w:val="009A6B36"/>
    <w:rsid w:val="009B3920"/>
    <w:rsid w:val="009B519C"/>
    <w:rsid w:val="009D1CB5"/>
    <w:rsid w:val="009F03BA"/>
    <w:rsid w:val="00A03A10"/>
    <w:rsid w:val="00A502D2"/>
    <w:rsid w:val="00A66652"/>
    <w:rsid w:val="00A92A69"/>
    <w:rsid w:val="00A96975"/>
    <w:rsid w:val="00A97455"/>
    <w:rsid w:val="00AC1F49"/>
    <w:rsid w:val="00AD2717"/>
    <w:rsid w:val="00AD7F4F"/>
    <w:rsid w:val="00AE18DA"/>
    <w:rsid w:val="00B058E5"/>
    <w:rsid w:val="00B716F8"/>
    <w:rsid w:val="00BC4833"/>
    <w:rsid w:val="00C07CE2"/>
    <w:rsid w:val="00C60EC0"/>
    <w:rsid w:val="00CB71BF"/>
    <w:rsid w:val="00CC4E44"/>
    <w:rsid w:val="00CD7154"/>
    <w:rsid w:val="00CE0D21"/>
    <w:rsid w:val="00CE1537"/>
    <w:rsid w:val="00CE70C8"/>
    <w:rsid w:val="00D0042B"/>
    <w:rsid w:val="00D22D52"/>
    <w:rsid w:val="00D724F4"/>
    <w:rsid w:val="00DC5C4E"/>
    <w:rsid w:val="00DC6C4E"/>
    <w:rsid w:val="00DF4164"/>
    <w:rsid w:val="00E14680"/>
    <w:rsid w:val="00E20B21"/>
    <w:rsid w:val="00E415A4"/>
    <w:rsid w:val="00E41B3B"/>
    <w:rsid w:val="00E55769"/>
    <w:rsid w:val="00E66691"/>
    <w:rsid w:val="00E6710F"/>
    <w:rsid w:val="00E77C64"/>
    <w:rsid w:val="00E90293"/>
    <w:rsid w:val="00ED3750"/>
    <w:rsid w:val="00ED78BB"/>
    <w:rsid w:val="00EE1DA7"/>
    <w:rsid w:val="00F109D1"/>
    <w:rsid w:val="00F21E0E"/>
    <w:rsid w:val="00F26150"/>
    <w:rsid w:val="00F4326E"/>
    <w:rsid w:val="00F50C10"/>
    <w:rsid w:val="00F64CC1"/>
    <w:rsid w:val="00F66436"/>
    <w:rsid w:val="00F9070F"/>
    <w:rsid w:val="00FA0469"/>
    <w:rsid w:val="00FA0BF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basedOn w:val="Normal"/>
    <w:link w:val="PrrafodelistaCar"/>
    <w:uiPriority w:val="72"/>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link w:val="Prrafodelista"/>
    <w:uiPriority w:val="72"/>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7B2574"/>
    <w:rPr>
      <w:rFonts w:ascii="Segoe UI" w:hAnsi="Segoe UI" w:cs="Segoe UI"/>
      <w:sz w:val="18"/>
      <w:szCs w:val="18"/>
    </w:rPr>
  </w:style>
  <w:style w:type="character" w:customStyle="1" w:styleId="TextodegloboCar">
    <w:name w:val="Texto de globo Car"/>
    <w:basedOn w:val="Fuentedeprrafopredeter"/>
    <w:link w:val="Textodeglobo"/>
    <w:semiHidden/>
    <w:rsid w:val="007B2574"/>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C1F49"/>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C1F49"/>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C1F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25387-9348-4A50-A6EF-C2E90133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1288</Words>
  <Characters>7084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user</cp:lastModifiedBy>
  <cp:revision>6</cp:revision>
  <cp:lastPrinted>2018-08-27T18:29:00Z</cp:lastPrinted>
  <dcterms:created xsi:type="dcterms:W3CDTF">2018-08-24T20:12:00Z</dcterms:created>
  <dcterms:modified xsi:type="dcterms:W3CDTF">2018-10-11T01:42:00Z</dcterms:modified>
</cp:coreProperties>
</file>